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3B2" w:rsidRPr="005B08D8" w:rsidRDefault="0078303B">
      <w:pPr>
        <w:tabs>
          <w:tab w:val="left" w:pos="1985"/>
        </w:tabs>
        <w:spacing w:after="0"/>
        <w:ind w:left="0" w:firstLine="0"/>
        <w:rPr>
          <w:rFonts w:ascii="Arial" w:eastAsia="Arial" w:hAnsi="Arial" w:cs="Arial"/>
          <w:b/>
          <w:sz w:val="24"/>
          <w:szCs w:val="24"/>
          <w:lang w:val="en-GB"/>
        </w:rPr>
      </w:pPr>
      <w:r w:rsidRPr="005B08D8">
        <w:rPr>
          <w:rFonts w:ascii="Arial" w:eastAsia="Arial" w:hAnsi="Arial" w:cs="Arial"/>
          <w:b/>
          <w:sz w:val="24"/>
          <w:szCs w:val="24"/>
          <w:lang w:val="en-GB"/>
        </w:rPr>
        <w:t>3GPP TSG RAN WG1 #103-e</w:t>
      </w:r>
      <w:r w:rsidRPr="005B08D8">
        <w:rPr>
          <w:rFonts w:ascii="Arial" w:eastAsia="Arial" w:hAnsi="Arial" w:cs="Arial"/>
          <w:b/>
          <w:sz w:val="24"/>
          <w:szCs w:val="24"/>
          <w:lang w:val="en-GB"/>
        </w:rPr>
        <w:tab/>
      </w:r>
      <w:r w:rsidRPr="005B08D8">
        <w:rPr>
          <w:rFonts w:ascii="Arial" w:eastAsia="Arial" w:hAnsi="Arial" w:cs="Arial"/>
          <w:b/>
          <w:sz w:val="24"/>
          <w:szCs w:val="24"/>
          <w:lang w:val="en-GB"/>
        </w:rPr>
        <w:tab/>
      </w:r>
      <w:r w:rsidRPr="005B08D8">
        <w:rPr>
          <w:rFonts w:ascii="Arial" w:eastAsia="Arial" w:hAnsi="Arial" w:cs="Arial"/>
          <w:b/>
          <w:sz w:val="24"/>
          <w:szCs w:val="24"/>
          <w:lang w:val="en-GB"/>
        </w:rPr>
        <w:tab/>
        <w:t xml:space="preserve">                      </w:t>
      </w:r>
      <w:r w:rsidR="005B08D8" w:rsidRPr="005B08D8">
        <w:rPr>
          <w:rFonts w:ascii="Arial" w:eastAsia="Arial" w:hAnsi="Arial" w:cs="Arial"/>
          <w:b/>
          <w:sz w:val="24"/>
          <w:szCs w:val="24"/>
          <w:lang w:val="en-GB"/>
        </w:rPr>
        <w:tab/>
      </w:r>
      <w:r w:rsidR="005B08D8" w:rsidRPr="005B08D8">
        <w:rPr>
          <w:rFonts w:ascii="Arial" w:eastAsia="Arial" w:hAnsi="Arial" w:cs="Arial"/>
          <w:b/>
          <w:sz w:val="24"/>
          <w:szCs w:val="24"/>
          <w:lang w:val="en-GB"/>
        </w:rPr>
        <w:tab/>
      </w:r>
      <w:r w:rsidRPr="005B08D8">
        <w:rPr>
          <w:rFonts w:ascii="Arial" w:eastAsia="Arial" w:hAnsi="Arial" w:cs="Arial"/>
          <w:b/>
          <w:sz w:val="24"/>
          <w:szCs w:val="24"/>
          <w:lang w:val="en-GB"/>
        </w:rPr>
        <w:t>R1-2009098</w:t>
      </w:r>
    </w:p>
    <w:p w:rsidR="007A73B2" w:rsidRPr="005B08D8" w:rsidRDefault="0078303B">
      <w:pPr>
        <w:tabs>
          <w:tab w:val="left" w:pos="1985"/>
        </w:tabs>
        <w:spacing w:after="0"/>
        <w:ind w:left="0" w:firstLine="0"/>
        <w:rPr>
          <w:rFonts w:ascii="Arial" w:eastAsia="Arial" w:hAnsi="Arial" w:cs="Arial"/>
          <w:b/>
          <w:sz w:val="24"/>
          <w:szCs w:val="24"/>
          <w:lang w:val="en-GB"/>
        </w:rPr>
      </w:pPr>
      <w:r w:rsidRPr="005B08D8">
        <w:rPr>
          <w:rFonts w:ascii="Arial" w:eastAsia="Arial" w:hAnsi="Arial" w:cs="Arial"/>
          <w:b/>
          <w:sz w:val="24"/>
          <w:szCs w:val="24"/>
          <w:lang w:val="en-GB"/>
        </w:rPr>
        <w:t>e-Meeting, October 26th – November 13th, 2020</w:t>
      </w:r>
    </w:p>
    <w:p w:rsidR="007A73B2" w:rsidRPr="005B08D8" w:rsidRDefault="007A73B2">
      <w:pPr>
        <w:tabs>
          <w:tab w:val="left" w:pos="1985"/>
        </w:tabs>
        <w:spacing w:after="0"/>
        <w:ind w:left="0" w:firstLine="0"/>
        <w:rPr>
          <w:rFonts w:ascii="Arial" w:eastAsia="Arial" w:hAnsi="Arial" w:cs="Arial"/>
          <w:b/>
          <w:sz w:val="24"/>
          <w:szCs w:val="24"/>
          <w:lang w:val="en-GB"/>
        </w:rPr>
      </w:pPr>
    </w:p>
    <w:p w:rsidR="007A73B2" w:rsidRPr="005B08D8" w:rsidRDefault="0078303B">
      <w:pPr>
        <w:tabs>
          <w:tab w:val="left" w:pos="1985"/>
        </w:tabs>
        <w:spacing w:after="0"/>
        <w:ind w:left="0" w:firstLine="0"/>
        <w:rPr>
          <w:rFonts w:ascii="Arial" w:eastAsia="Arial" w:hAnsi="Arial" w:cs="Arial"/>
          <w:sz w:val="24"/>
          <w:szCs w:val="24"/>
          <w:lang w:val="en-GB"/>
        </w:rPr>
      </w:pPr>
      <w:r w:rsidRPr="005B08D8">
        <w:rPr>
          <w:rFonts w:ascii="Arial" w:eastAsia="Arial" w:hAnsi="Arial" w:cs="Arial"/>
          <w:b/>
          <w:sz w:val="24"/>
          <w:szCs w:val="24"/>
          <w:lang w:val="en-GB"/>
        </w:rPr>
        <w:t>Agenda Item:</w:t>
      </w:r>
      <w:r w:rsidRPr="005B08D8">
        <w:rPr>
          <w:rFonts w:ascii="Arial" w:eastAsia="Arial" w:hAnsi="Arial" w:cs="Arial"/>
          <w:sz w:val="24"/>
          <w:szCs w:val="24"/>
          <w:lang w:val="en-GB"/>
        </w:rPr>
        <w:tab/>
        <w:t>8.15.1</w:t>
      </w:r>
    </w:p>
    <w:p w:rsidR="007A73B2" w:rsidRPr="005B08D8" w:rsidRDefault="0078303B">
      <w:pPr>
        <w:tabs>
          <w:tab w:val="left" w:pos="1985"/>
        </w:tabs>
        <w:spacing w:after="0"/>
        <w:ind w:left="0" w:firstLine="0"/>
        <w:rPr>
          <w:rFonts w:ascii="Arial" w:eastAsia="Arial" w:hAnsi="Arial" w:cs="Arial"/>
          <w:sz w:val="24"/>
          <w:szCs w:val="24"/>
          <w:lang w:val="en-GB"/>
        </w:rPr>
      </w:pPr>
      <w:r w:rsidRPr="005B08D8">
        <w:rPr>
          <w:rFonts w:ascii="Arial" w:eastAsia="Arial" w:hAnsi="Arial" w:cs="Arial"/>
          <w:b/>
          <w:sz w:val="24"/>
          <w:szCs w:val="24"/>
          <w:lang w:val="en-GB"/>
        </w:rPr>
        <w:t xml:space="preserve">Source: </w:t>
      </w:r>
      <w:r w:rsidRPr="005B08D8">
        <w:rPr>
          <w:rFonts w:ascii="Arial" w:eastAsia="Arial" w:hAnsi="Arial" w:cs="Arial"/>
          <w:b/>
          <w:sz w:val="24"/>
          <w:szCs w:val="24"/>
          <w:lang w:val="en-GB"/>
        </w:rPr>
        <w:tab/>
      </w:r>
      <w:r w:rsidRPr="005B08D8">
        <w:rPr>
          <w:rFonts w:ascii="Arial" w:eastAsia="Arial" w:hAnsi="Arial" w:cs="Arial"/>
          <w:sz w:val="24"/>
          <w:szCs w:val="24"/>
          <w:lang w:val="en-GB"/>
        </w:rPr>
        <w:t xml:space="preserve">Gatehouse, </w:t>
      </w:r>
      <w:proofErr w:type="spellStart"/>
      <w:r w:rsidRPr="005B08D8">
        <w:rPr>
          <w:rFonts w:ascii="Arial" w:eastAsia="Arial" w:hAnsi="Arial" w:cs="Arial"/>
          <w:sz w:val="24"/>
          <w:szCs w:val="24"/>
          <w:lang w:val="en-GB"/>
        </w:rPr>
        <w:t>Sateliot</w:t>
      </w:r>
      <w:proofErr w:type="spellEnd"/>
    </w:p>
    <w:p w:rsidR="007A73B2" w:rsidRPr="005B08D8" w:rsidRDefault="0078303B">
      <w:pPr>
        <w:tabs>
          <w:tab w:val="left" w:pos="1985"/>
        </w:tabs>
        <w:spacing w:after="0"/>
        <w:ind w:left="0" w:firstLine="0"/>
        <w:rPr>
          <w:rFonts w:ascii="Arial" w:eastAsia="Arial" w:hAnsi="Arial" w:cs="Arial"/>
          <w:sz w:val="24"/>
          <w:szCs w:val="24"/>
          <w:lang w:val="en-GB"/>
        </w:rPr>
      </w:pPr>
      <w:r w:rsidRPr="005B08D8">
        <w:rPr>
          <w:rFonts w:ascii="Arial" w:eastAsia="Arial" w:hAnsi="Arial" w:cs="Arial"/>
          <w:b/>
          <w:sz w:val="24"/>
          <w:szCs w:val="24"/>
          <w:lang w:val="en-GB"/>
        </w:rPr>
        <w:t>Title:</w:t>
      </w:r>
      <w:r w:rsidRPr="005B08D8">
        <w:rPr>
          <w:rFonts w:ascii="Arial" w:eastAsia="Arial" w:hAnsi="Arial" w:cs="Arial"/>
          <w:sz w:val="24"/>
          <w:szCs w:val="24"/>
          <w:lang w:val="en-GB"/>
        </w:rPr>
        <w:t xml:space="preserve"> </w:t>
      </w:r>
      <w:r w:rsidRPr="005B08D8">
        <w:rPr>
          <w:rFonts w:ascii="Arial" w:eastAsia="Arial" w:hAnsi="Arial" w:cs="Arial"/>
          <w:sz w:val="24"/>
          <w:szCs w:val="24"/>
          <w:lang w:val="en-GB"/>
        </w:rPr>
        <w:tab/>
        <w:t>Discussion on scenarios applicable to NB-</w:t>
      </w:r>
      <w:proofErr w:type="spellStart"/>
      <w:r w:rsidRPr="005B08D8">
        <w:rPr>
          <w:rFonts w:ascii="Arial" w:eastAsia="Arial" w:hAnsi="Arial" w:cs="Arial"/>
          <w:sz w:val="24"/>
          <w:szCs w:val="24"/>
          <w:lang w:val="en-GB"/>
        </w:rPr>
        <w:t>IoT</w:t>
      </w:r>
      <w:proofErr w:type="spellEnd"/>
      <w:r w:rsidRPr="005B08D8">
        <w:rPr>
          <w:rFonts w:ascii="Arial" w:eastAsia="Arial" w:hAnsi="Arial" w:cs="Arial"/>
          <w:sz w:val="24"/>
          <w:szCs w:val="24"/>
          <w:lang w:val="en-GB"/>
        </w:rPr>
        <w:t xml:space="preserve"> NTN</w:t>
      </w:r>
    </w:p>
    <w:p w:rsidR="007A73B2" w:rsidRPr="005B08D8" w:rsidRDefault="0078303B">
      <w:pPr>
        <w:pBdr>
          <w:bottom w:val="single" w:sz="12" w:space="1" w:color="000000"/>
        </w:pBdr>
        <w:tabs>
          <w:tab w:val="left" w:pos="1985"/>
        </w:tabs>
        <w:spacing w:after="480"/>
        <w:ind w:left="0" w:firstLine="0"/>
        <w:rPr>
          <w:rFonts w:ascii="Arial" w:eastAsia="Arial" w:hAnsi="Arial" w:cs="Arial"/>
          <w:sz w:val="24"/>
          <w:szCs w:val="24"/>
          <w:lang w:val="en-GB"/>
        </w:rPr>
      </w:pPr>
      <w:r w:rsidRPr="005B08D8">
        <w:rPr>
          <w:rFonts w:ascii="Arial" w:eastAsia="Arial" w:hAnsi="Arial" w:cs="Arial"/>
          <w:b/>
          <w:sz w:val="24"/>
          <w:szCs w:val="24"/>
          <w:lang w:val="en-GB"/>
        </w:rPr>
        <w:t>Document for:</w:t>
      </w:r>
      <w:r w:rsidRPr="005B08D8">
        <w:rPr>
          <w:rFonts w:ascii="Arial" w:eastAsia="Arial" w:hAnsi="Arial" w:cs="Arial"/>
          <w:sz w:val="24"/>
          <w:szCs w:val="24"/>
          <w:lang w:val="en-GB"/>
        </w:rPr>
        <w:tab/>
        <w:t>Discussion and Decision</w:t>
      </w:r>
    </w:p>
    <w:p w:rsidR="007A73B2" w:rsidRPr="005B08D8" w:rsidRDefault="0078303B">
      <w:pPr>
        <w:pStyle w:val="Heading1"/>
        <w:spacing w:line="480" w:lineRule="auto"/>
        <w:rPr>
          <w:b/>
          <w:lang w:val="en-GB"/>
        </w:rPr>
      </w:pPr>
      <w:r w:rsidRPr="005B08D8">
        <w:rPr>
          <w:b/>
          <w:lang w:val="en-GB"/>
        </w:rPr>
        <w:t xml:space="preserve">1. </w:t>
      </w:r>
      <w:r w:rsidRPr="005B08D8">
        <w:rPr>
          <w:b/>
          <w:lang w:val="en-GB"/>
        </w:rPr>
        <w:t>Introduction</w:t>
      </w:r>
    </w:p>
    <w:p w:rsidR="007A73B2" w:rsidRPr="005B08D8" w:rsidRDefault="0078303B" w:rsidP="005B08D8">
      <w:pPr>
        <w:spacing w:before="200" w:after="120"/>
        <w:ind w:left="0" w:firstLine="0"/>
        <w:rPr>
          <w:sz w:val="22"/>
          <w:szCs w:val="22"/>
          <w:lang w:val="en-GB"/>
        </w:rPr>
      </w:pPr>
      <w:r w:rsidRPr="005B08D8">
        <w:rPr>
          <w:sz w:val="22"/>
          <w:szCs w:val="22"/>
          <w:lang w:val="en-GB"/>
        </w:rPr>
        <w:t>In RAN#86 Meeting, the study item of “Study on NB-Io/eMTC support for Non-Terrestrial Network” was approved for Rel-17 [1]. Among the topics to be addressed by this SI under RAN1 in Q4/2020, there is [2]:</w:t>
      </w:r>
    </w:p>
    <w:p w:rsidR="007A73B2" w:rsidRPr="005B08D8" w:rsidRDefault="0078303B">
      <w:pPr>
        <w:numPr>
          <w:ilvl w:val="0"/>
          <w:numId w:val="3"/>
        </w:numPr>
        <w:spacing w:before="240" w:after="40" w:line="280" w:lineRule="auto"/>
        <w:rPr>
          <w:i/>
          <w:sz w:val="22"/>
          <w:szCs w:val="22"/>
          <w:lang w:val="en-GB"/>
        </w:rPr>
      </w:pPr>
      <w:r w:rsidRPr="005B08D8">
        <w:rPr>
          <w:i/>
          <w:sz w:val="22"/>
          <w:szCs w:val="22"/>
          <w:lang w:val="en-GB"/>
        </w:rPr>
        <w:t xml:space="preserve">  Scenarios applicable to NB-</w:t>
      </w:r>
      <w:proofErr w:type="spellStart"/>
      <w:r w:rsidRPr="005B08D8">
        <w:rPr>
          <w:i/>
          <w:sz w:val="22"/>
          <w:szCs w:val="22"/>
          <w:lang w:val="en-GB"/>
        </w:rPr>
        <w:t>IoT</w:t>
      </w:r>
      <w:proofErr w:type="spellEnd"/>
      <w:r w:rsidRPr="005B08D8">
        <w:rPr>
          <w:i/>
          <w:sz w:val="22"/>
          <w:szCs w:val="22"/>
          <w:lang w:val="en-GB"/>
        </w:rPr>
        <w:t xml:space="preserve">/eMTC </w:t>
      </w:r>
    </w:p>
    <w:p w:rsidR="007A73B2" w:rsidRPr="005B08D8" w:rsidRDefault="0078303B" w:rsidP="005B08D8">
      <w:pPr>
        <w:spacing w:before="200" w:after="120"/>
        <w:ind w:left="0" w:firstLine="0"/>
        <w:rPr>
          <w:sz w:val="22"/>
          <w:szCs w:val="22"/>
          <w:lang w:val="en-GB"/>
        </w:rPr>
      </w:pPr>
      <w:r w:rsidRPr="005B08D8">
        <w:rPr>
          <w:sz w:val="22"/>
          <w:szCs w:val="22"/>
          <w:lang w:val="en-GB"/>
        </w:rPr>
        <w:t xml:space="preserve">In this context, this document identifies a scenario suitable for </w:t>
      </w:r>
      <w:proofErr w:type="spellStart"/>
      <w:r w:rsidRPr="005B08D8">
        <w:rPr>
          <w:sz w:val="22"/>
          <w:szCs w:val="22"/>
          <w:lang w:val="en-GB"/>
        </w:rPr>
        <w:t>IoT</w:t>
      </w:r>
      <w:proofErr w:type="spellEnd"/>
      <w:r w:rsidRPr="005B08D8">
        <w:rPr>
          <w:sz w:val="22"/>
          <w:szCs w:val="22"/>
          <w:lang w:val="en-GB"/>
        </w:rPr>
        <w:t xml:space="preserve"> NTN (NB-</w:t>
      </w:r>
      <w:proofErr w:type="spellStart"/>
      <w:r w:rsidRPr="005B08D8">
        <w:rPr>
          <w:sz w:val="22"/>
          <w:szCs w:val="22"/>
          <w:lang w:val="en-GB"/>
        </w:rPr>
        <w:t>IoT</w:t>
      </w:r>
      <w:proofErr w:type="spellEnd"/>
      <w:r w:rsidRPr="005B08D8">
        <w:rPr>
          <w:sz w:val="22"/>
          <w:szCs w:val="22"/>
          <w:lang w:val="en-GB"/>
        </w:rPr>
        <w:t>) access technology –one of the three 3GPP C</w:t>
      </w:r>
      <w:r w:rsidR="005B08D8" w:rsidRPr="005B08D8">
        <w:rPr>
          <w:sz w:val="22"/>
          <w:szCs w:val="22"/>
          <w:lang w:val="en-GB"/>
        </w:rPr>
        <w:t xml:space="preserve">ellular </w:t>
      </w:r>
      <w:proofErr w:type="spellStart"/>
      <w:r w:rsidR="005B08D8" w:rsidRPr="005B08D8">
        <w:rPr>
          <w:sz w:val="22"/>
          <w:szCs w:val="22"/>
          <w:lang w:val="en-GB"/>
        </w:rPr>
        <w:t>IoT</w:t>
      </w:r>
      <w:proofErr w:type="spellEnd"/>
      <w:r w:rsidR="005B08D8" w:rsidRPr="005B08D8">
        <w:rPr>
          <w:sz w:val="22"/>
          <w:szCs w:val="22"/>
          <w:lang w:val="en-GB"/>
        </w:rPr>
        <w:t xml:space="preserve"> technologies(C-</w:t>
      </w:r>
      <w:proofErr w:type="spellStart"/>
      <w:r w:rsidR="005B08D8" w:rsidRPr="005B08D8">
        <w:rPr>
          <w:sz w:val="22"/>
          <w:szCs w:val="22"/>
          <w:lang w:val="en-GB"/>
        </w:rPr>
        <w:t>IoT</w:t>
      </w:r>
      <w:proofErr w:type="spellEnd"/>
      <w:r w:rsidR="005B08D8" w:rsidRPr="005B08D8">
        <w:rPr>
          <w:sz w:val="22"/>
          <w:szCs w:val="22"/>
          <w:lang w:val="en-GB"/>
        </w:rPr>
        <w:t>)</w:t>
      </w:r>
      <w:r w:rsidRPr="005B08D8">
        <w:rPr>
          <w:sz w:val="22"/>
          <w:szCs w:val="22"/>
          <w:lang w:val="en-GB"/>
        </w:rPr>
        <w:t>, which relies on the use of microsatellites platforms in low-density LEO constellations. Discussi</w:t>
      </w:r>
      <w:r w:rsidRPr="005B08D8">
        <w:rPr>
          <w:sz w:val="22"/>
          <w:szCs w:val="22"/>
          <w:lang w:val="en-GB"/>
        </w:rPr>
        <w:t>on points include (1) link budget considerations for this scenario, (2) discontinuous service coverage and (3) discontinuous feeder link connectivity with the satellites.</w:t>
      </w:r>
    </w:p>
    <w:p w:rsidR="005B08D8" w:rsidRPr="005B08D8" w:rsidRDefault="005B08D8" w:rsidP="005B08D8">
      <w:pPr>
        <w:spacing w:before="200" w:after="120"/>
        <w:ind w:left="0" w:firstLine="0"/>
        <w:rPr>
          <w:sz w:val="22"/>
          <w:szCs w:val="22"/>
          <w:lang w:val="en-GB"/>
        </w:rPr>
      </w:pPr>
    </w:p>
    <w:p w:rsidR="007A73B2" w:rsidRPr="005B08D8" w:rsidRDefault="0078303B" w:rsidP="005B08D8">
      <w:pPr>
        <w:pStyle w:val="Heading1"/>
        <w:spacing w:after="240"/>
        <w:rPr>
          <w:b/>
          <w:lang w:val="en-GB"/>
        </w:rPr>
      </w:pPr>
      <w:r w:rsidRPr="005B08D8">
        <w:rPr>
          <w:b/>
          <w:lang w:val="en-GB"/>
        </w:rPr>
        <w:t>2. Scenario description: NB-</w:t>
      </w:r>
      <w:proofErr w:type="spellStart"/>
      <w:r w:rsidRPr="005B08D8">
        <w:rPr>
          <w:b/>
          <w:lang w:val="en-GB"/>
        </w:rPr>
        <w:t>IoT</w:t>
      </w:r>
      <w:proofErr w:type="spellEnd"/>
      <w:r w:rsidRPr="005B08D8">
        <w:rPr>
          <w:b/>
          <w:lang w:val="en-GB"/>
        </w:rPr>
        <w:t xml:space="preserve"> systems with micro-satellites in low density LEO cons</w:t>
      </w:r>
      <w:r w:rsidRPr="005B08D8">
        <w:rPr>
          <w:b/>
          <w:lang w:val="en-GB"/>
        </w:rPr>
        <w:t>tellations</w:t>
      </w:r>
    </w:p>
    <w:p w:rsidR="007A73B2" w:rsidRPr="005B08D8" w:rsidRDefault="0078303B">
      <w:pPr>
        <w:tabs>
          <w:tab w:val="left" w:pos="0"/>
        </w:tabs>
        <w:ind w:left="0" w:firstLine="0"/>
        <w:rPr>
          <w:sz w:val="22"/>
          <w:szCs w:val="22"/>
          <w:lang w:val="en-GB"/>
        </w:rPr>
      </w:pPr>
      <w:r w:rsidRPr="005B08D8">
        <w:rPr>
          <w:sz w:val="22"/>
          <w:szCs w:val="22"/>
          <w:lang w:val="en-GB"/>
        </w:rPr>
        <w:t xml:space="preserve">The use of miniaturized, microsatellites satellites - such as </w:t>
      </w:r>
      <w:proofErr w:type="spellStart"/>
      <w:r w:rsidRPr="005B08D8">
        <w:rPr>
          <w:sz w:val="22"/>
          <w:szCs w:val="22"/>
          <w:lang w:val="en-GB"/>
        </w:rPr>
        <w:t>Cubesats</w:t>
      </w:r>
      <w:proofErr w:type="spellEnd"/>
      <w:r w:rsidRPr="005B08D8">
        <w:rPr>
          <w:sz w:val="22"/>
          <w:szCs w:val="22"/>
          <w:lang w:val="en-GB"/>
        </w:rPr>
        <w:t xml:space="preserve"> - for the delivery of </w:t>
      </w:r>
      <w:proofErr w:type="spellStart"/>
      <w:r w:rsidRPr="005B08D8">
        <w:rPr>
          <w:sz w:val="22"/>
          <w:szCs w:val="22"/>
          <w:lang w:val="en-GB"/>
        </w:rPr>
        <w:t>IoT</w:t>
      </w:r>
      <w:proofErr w:type="spellEnd"/>
      <w:r w:rsidRPr="005B08D8">
        <w:rPr>
          <w:sz w:val="22"/>
          <w:szCs w:val="22"/>
          <w:lang w:val="en-GB"/>
        </w:rPr>
        <w:t xml:space="preserve"> services is gaining momentum because of their low design-and-deployment costs, with diverse projects and service offerings in this field. Current so</w:t>
      </w:r>
      <w:r w:rsidRPr="005B08D8">
        <w:rPr>
          <w:sz w:val="22"/>
          <w:szCs w:val="22"/>
          <w:lang w:val="en-GB"/>
        </w:rPr>
        <w:t xml:space="preserve">lutions rely on proprietary protocols (e.g. </w:t>
      </w:r>
      <w:proofErr w:type="spellStart"/>
      <w:r w:rsidRPr="005B08D8">
        <w:rPr>
          <w:sz w:val="22"/>
          <w:szCs w:val="22"/>
          <w:lang w:val="en-GB"/>
        </w:rPr>
        <w:t>Myriota</w:t>
      </w:r>
      <w:proofErr w:type="spellEnd"/>
      <w:r w:rsidRPr="005B08D8">
        <w:rPr>
          <w:sz w:val="22"/>
          <w:szCs w:val="22"/>
          <w:lang w:val="en-GB"/>
        </w:rPr>
        <w:t xml:space="preserve">, </w:t>
      </w:r>
      <w:proofErr w:type="spellStart"/>
      <w:r w:rsidRPr="005B08D8">
        <w:rPr>
          <w:sz w:val="22"/>
          <w:szCs w:val="22"/>
          <w:lang w:val="en-GB"/>
        </w:rPr>
        <w:t>Astrocast</w:t>
      </w:r>
      <w:proofErr w:type="spellEnd"/>
      <w:r w:rsidRPr="005B08D8">
        <w:rPr>
          <w:sz w:val="22"/>
          <w:szCs w:val="22"/>
          <w:lang w:val="en-GB"/>
        </w:rPr>
        <w:t xml:space="preserve">, </w:t>
      </w:r>
      <w:proofErr w:type="spellStart"/>
      <w:r w:rsidRPr="005B08D8">
        <w:rPr>
          <w:sz w:val="22"/>
          <w:szCs w:val="22"/>
          <w:lang w:val="en-GB"/>
        </w:rPr>
        <w:t>Hiber</w:t>
      </w:r>
      <w:proofErr w:type="spellEnd"/>
      <w:r w:rsidRPr="005B08D8">
        <w:rPr>
          <w:sz w:val="22"/>
          <w:szCs w:val="22"/>
          <w:lang w:val="en-GB"/>
        </w:rPr>
        <w:t xml:space="preserve">) or non-3GPP protocols for the implementation of the service link (e.g. </w:t>
      </w:r>
      <w:proofErr w:type="spellStart"/>
      <w:r w:rsidRPr="005B08D8">
        <w:rPr>
          <w:sz w:val="22"/>
          <w:szCs w:val="22"/>
          <w:lang w:val="en-GB"/>
        </w:rPr>
        <w:t>LoRa</w:t>
      </w:r>
      <w:proofErr w:type="spellEnd"/>
      <w:r w:rsidRPr="005B08D8">
        <w:rPr>
          <w:sz w:val="22"/>
          <w:szCs w:val="22"/>
          <w:lang w:val="en-GB"/>
        </w:rPr>
        <w:t xml:space="preserve">, </w:t>
      </w:r>
      <w:proofErr w:type="spellStart"/>
      <w:r w:rsidRPr="005B08D8">
        <w:rPr>
          <w:sz w:val="22"/>
          <w:szCs w:val="22"/>
          <w:lang w:val="en-GB"/>
        </w:rPr>
        <w:t>Sigfox</w:t>
      </w:r>
      <w:proofErr w:type="spellEnd"/>
      <w:r w:rsidRPr="005B08D8">
        <w:rPr>
          <w:sz w:val="22"/>
          <w:szCs w:val="22"/>
          <w:lang w:val="en-GB"/>
        </w:rPr>
        <w:t xml:space="preserve">). Authors of this contribution believe that it is important for the 3GPP industry to come up with an </w:t>
      </w:r>
      <w:r w:rsidRPr="005B08D8">
        <w:rPr>
          <w:sz w:val="22"/>
          <w:szCs w:val="22"/>
          <w:lang w:val="en-GB"/>
        </w:rPr>
        <w:t>adaptation/enhancement of the NB-</w:t>
      </w:r>
      <w:proofErr w:type="spellStart"/>
      <w:r w:rsidRPr="005B08D8">
        <w:rPr>
          <w:sz w:val="22"/>
          <w:szCs w:val="22"/>
          <w:lang w:val="en-GB"/>
        </w:rPr>
        <w:t>IoT</w:t>
      </w:r>
      <w:proofErr w:type="spellEnd"/>
      <w:r w:rsidRPr="005B08D8">
        <w:rPr>
          <w:sz w:val="22"/>
          <w:szCs w:val="22"/>
          <w:lang w:val="en-GB"/>
        </w:rPr>
        <w:t xml:space="preserve"> protocol that is suitable for deployment in </w:t>
      </w:r>
      <w:proofErr w:type="spellStart"/>
      <w:r w:rsidRPr="005B08D8">
        <w:rPr>
          <w:sz w:val="22"/>
          <w:szCs w:val="22"/>
          <w:lang w:val="en-GB"/>
        </w:rPr>
        <w:t>Cubesats</w:t>
      </w:r>
      <w:proofErr w:type="spellEnd"/>
      <w:r w:rsidRPr="005B08D8">
        <w:rPr>
          <w:sz w:val="22"/>
          <w:szCs w:val="22"/>
          <w:lang w:val="en-GB"/>
        </w:rPr>
        <w:t xml:space="preserve"> or similar platforms (i.e. microsatellites, with indicative weights in the range 10-100 Kg). This will allow 3GPP-based satellite NB-</w:t>
      </w:r>
      <w:proofErr w:type="spellStart"/>
      <w:r w:rsidRPr="005B08D8">
        <w:rPr>
          <w:sz w:val="22"/>
          <w:szCs w:val="22"/>
          <w:lang w:val="en-GB"/>
        </w:rPr>
        <w:t>IoT</w:t>
      </w:r>
      <w:proofErr w:type="spellEnd"/>
      <w:r w:rsidRPr="005B08D8">
        <w:rPr>
          <w:sz w:val="22"/>
          <w:szCs w:val="22"/>
          <w:lang w:val="en-GB"/>
        </w:rPr>
        <w:t xml:space="preserve"> systems to be able to compete</w:t>
      </w:r>
      <w:r w:rsidRPr="005B08D8">
        <w:rPr>
          <w:sz w:val="22"/>
          <w:szCs w:val="22"/>
          <w:lang w:val="en-GB"/>
        </w:rPr>
        <w:t xml:space="preserve"> in this range of solutions.</w:t>
      </w:r>
    </w:p>
    <w:p w:rsidR="007A73B2" w:rsidRPr="005B08D8" w:rsidRDefault="0078303B">
      <w:pPr>
        <w:tabs>
          <w:tab w:val="left" w:pos="0"/>
        </w:tabs>
        <w:ind w:left="0" w:firstLine="0"/>
        <w:rPr>
          <w:sz w:val="22"/>
          <w:szCs w:val="22"/>
          <w:lang w:val="en-GB"/>
        </w:rPr>
      </w:pPr>
      <w:r w:rsidRPr="005B08D8">
        <w:rPr>
          <w:sz w:val="22"/>
          <w:szCs w:val="22"/>
          <w:lang w:val="en-GB"/>
        </w:rPr>
        <w:t xml:space="preserve">From a cost, complexity and service performance perspective, a LEO constellation of a low number of microsatellites (e.g. in the order of tens of satellites) would be sufficient to address the needs of many </w:t>
      </w:r>
      <w:proofErr w:type="spellStart"/>
      <w:r w:rsidRPr="005B08D8">
        <w:rPr>
          <w:sz w:val="22"/>
          <w:szCs w:val="22"/>
          <w:lang w:val="en-GB"/>
        </w:rPr>
        <w:t>IoT</w:t>
      </w:r>
      <w:proofErr w:type="spellEnd"/>
      <w:r w:rsidRPr="005B08D8">
        <w:rPr>
          <w:sz w:val="22"/>
          <w:szCs w:val="22"/>
          <w:lang w:val="en-GB"/>
        </w:rPr>
        <w:t xml:space="preserve"> and M2M applicat</w:t>
      </w:r>
      <w:r w:rsidRPr="005B08D8">
        <w:rPr>
          <w:sz w:val="22"/>
          <w:szCs w:val="22"/>
          <w:lang w:val="en-GB"/>
        </w:rPr>
        <w:t>ions.</w:t>
      </w:r>
    </w:p>
    <w:p w:rsidR="007A73B2" w:rsidRPr="005B08D8" w:rsidRDefault="0078303B">
      <w:pPr>
        <w:tabs>
          <w:tab w:val="left" w:pos="0"/>
        </w:tabs>
        <w:ind w:left="0" w:firstLine="0"/>
        <w:rPr>
          <w:sz w:val="22"/>
          <w:szCs w:val="22"/>
          <w:lang w:val="en-GB"/>
        </w:rPr>
      </w:pPr>
      <w:r w:rsidRPr="005B08D8">
        <w:rPr>
          <w:sz w:val="22"/>
          <w:szCs w:val="22"/>
          <w:lang w:val="en-GB"/>
        </w:rPr>
        <w:t>However, there are a number of considerations arising from the size and power limitations of microsatellites along with the use of low-density constellations that would deserve further attention when assessing the adaptation of the NB-</w:t>
      </w:r>
      <w:proofErr w:type="spellStart"/>
      <w:r w:rsidRPr="005B08D8">
        <w:rPr>
          <w:sz w:val="22"/>
          <w:szCs w:val="22"/>
          <w:lang w:val="en-GB"/>
        </w:rPr>
        <w:t>IoT</w:t>
      </w:r>
      <w:proofErr w:type="spellEnd"/>
      <w:r w:rsidRPr="005B08D8">
        <w:rPr>
          <w:sz w:val="22"/>
          <w:szCs w:val="22"/>
          <w:lang w:val="en-GB"/>
        </w:rPr>
        <w:t xml:space="preserve"> protocol un</w:t>
      </w:r>
      <w:r w:rsidRPr="005B08D8">
        <w:rPr>
          <w:sz w:val="22"/>
          <w:szCs w:val="22"/>
          <w:lang w:val="en-GB"/>
        </w:rPr>
        <w:t>der this Study Item. In particular:</w:t>
      </w:r>
    </w:p>
    <w:p w:rsidR="007A73B2" w:rsidRPr="005B08D8" w:rsidRDefault="0078303B">
      <w:pPr>
        <w:numPr>
          <w:ilvl w:val="0"/>
          <w:numId w:val="2"/>
        </w:numPr>
        <w:tabs>
          <w:tab w:val="left" w:pos="0"/>
        </w:tabs>
        <w:spacing w:after="0"/>
        <w:rPr>
          <w:lang w:val="en-GB"/>
        </w:rPr>
      </w:pPr>
      <w:r w:rsidRPr="005B08D8">
        <w:rPr>
          <w:sz w:val="22"/>
          <w:szCs w:val="22"/>
          <w:lang w:val="en-GB"/>
        </w:rPr>
        <w:t>Restricted link budget, due to maximum transmission power, antenna gains and number of beams that can be supported in microsatelli</w:t>
      </w:r>
      <w:r w:rsidR="00DE25B1">
        <w:rPr>
          <w:sz w:val="22"/>
          <w:szCs w:val="22"/>
          <w:lang w:val="en-GB"/>
        </w:rPr>
        <w:t xml:space="preserve">te platforms such as </w:t>
      </w:r>
      <w:proofErr w:type="spellStart"/>
      <w:r w:rsidR="00DE25B1">
        <w:rPr>
          <w:sz w:val="22"/>
          <w:szCs w:val="22"/>
          <w:lang w:val="en-GB"/>
        </w:rPr>
        <w:t>Cubesats</w:t>
      </w:r>
      <w:proofErr w:type="spellEnd"/>
      <w:r w:rsidR="00DE25B1">
        <w:rPr>
          <w:sz w:val="22"/>
          <w:szCs w:val="22"/>
          <w:lang w:val="en-GB"/>
        </w:rPr>
        <w:t>.</w:t>
      </w:r>
      <w:bookmarkStart w:id="0" w:name="_GoBack"/>
      <w:bookmarkEnd w:id="0"/>
    </w:p>
    <w:p w:rsidR="007A73B2" w:rsidRPr="005B08D8" w:rsidRDefault="0078303B">
      <w:pPr>
        <w:numPr>
          <w:ilvl w:val="0"/>
          <w:numId w:val="2"/>
        </w:numPr>
        <w:tabs>
          <w:tab w:val="left" w:pos="0"/>
        </w:tabs>
        <w:spacing w:before="0" w:after="0"/>
        <w:rPr>
          <w:lang w:val="en-GB"/>
        </w:rPr>
      </w:pPr>
      <w:r w:rsidRPr="005B08D8">
        <w:rPr>
          <w:sz w:val="22"/>
          <w:szCs w:val="22"/>
          <w:lang w:val="en-GB"/>
        </w:rPr>
        <w:t xml:space="preserve">Discontinued service link coverage, so that UE devices can remain long periods of time without being able to detect a satellite cell. </w:t>
      </w:r>
    </w:p>
    <w:p w:rsidR="007A73B2" w:rsidRPr="005B08D8" w:rsidRDefault="0078303B">
      <w:pPr>
        <w:numPr>
          <w:ilvl w:val="0"/>
          <w:numId w:val="2"/>
        </w:numPr>
        <w:tabs>
          <w:tab w:val="left" w:pos="0"/>
        </w:tabs>
        <w:spacing w:before="0"/>
        <w:rPr>
          <w:lang w:val="en-GB"/>
        </w:rPr>
      </w:pPr>
      <w:r w:rsidRPr="005B08D8">
        <w:rPr>
          <w:sz w:val="22"/>
          <w:szCs w:val="22"/>
          <w:lang w:val="en-GB"/>
        </w:rPr>
        <w:t xml:space="preserve">Discontinued feeder link connectivity, so that the satellite should be able to provide service to </w:t>
      </w:r>
      <w:proofErr w:type="spellStart"/>
      <w:r w:rsidRPr="005B08D8">
        <w:rPr>
          <w:sz w:val="22"/>
          <w:szCs w:val="22"/>
          <w:lang w:val="en-GB"/>
        </w:rPr>
        <w:t>IoT</w:t>
      </w:r>
      <w:proofErr w:type="spellEnd"/>
      <w:r w:rsidRPr="005B08D8">
        <w:rPr>
          <w:sz w:val="22"/>
          <w:szCs w:val="22"/>
          <w:lang w:val="en-GB"/>
        </w:rPr>
        <w:t xml:space="preserve"> devices even when t</w:t>
      </w:r>
      <w:r w:rsidRPr="005B08D8">
        <w:rPr>
          <w:sz w:val="22"/>
          <w:szCs w:val="22"/>
          <w:lang w:val="en-GB"/>
        </w:rPr>
        <w:t xml:space="preserve">he satellite is not connected to the ground segment. </w:t>
      </w:r>
    </w:p>
    <w:p w:rsidR="007A73B2" w:rsidRPr="005B08D8" w:rsidRDefault="0078303B">
      <w:pPr>
        <w:tabs>
          <w:tab w:val="left" w:pos="0"/>
        </w:tabs>
        <w:ind w:left="0" w:firstLine="0"/>
        <w:rPr>
          <w:sz w:val="22"/>
          <w:szCs w:val="22"/>
          <w:lang w:val="en-GB"/>
        </w:rPr>
      </w:pPr>
      <w:r w:rsidRPr="005B08D8">
        <w:rPr>
          <w:sz w:val="22"/>
          <w:szCs w:val="22"/>
          <w:lang w:val="en-GB"/>
        </w:rPr>
        <w:t>Items (1) and (2) above are relevant for both transparent and non-transparent payloads.</w:t>
      </w:r>
    </w:p>
    <w:p w:rsidR="007A73B2" w:rsidRPr="005B08D8" w:rsidRDefault="0078303B">
      <w:pPr>
        <w:tabs>
          <w:tab w:val="left" w:pos="0"/>
        </w:tabs>
        <w:ind w:left="0" w:firstLine="0"/>
        <w:rPr>
          <w:sz w:val="22"/>
          <w:szCs w:val="22"/>
          <w:lang w:val="en-GB"/>
        </w:rPr>
      </w:pPr>
      <w:r w:rsidRPr="005B08D8">
        <w:rPr>
          <w:sz w:val="22"/>
          <w:szCs w:val="22"/>
          <w:lang w:val="en-GB"/>
        </w:rPr>
        <w:t>Item (3) above is mainly related to the non-transparent payloads. However transparent mode will face this issue as</w:t>
      </w:r>
      <w:r w:rsidRPr="005B08D8">
        <w:rPr>
          <w:sz w:val="22"/>
          <w:szCs w:val="22"/>
          <w:lang w:val="en-GB"/>
        </w:rPr>
        <w:t xml:space="preserve"> well.</w:t>
      </w:r>
    </w:p>
    <w:p w:rsidR="007A73B2" w:rsidRPr="005B08D8" w:rsidRDefault="0078303B">
      <w:pPr>
        <w:tabs>
          <w:tab w:val="left" w:pos="0"/>
        </w:tabs>
        <w:ind w:left="0" w:firstLine="0"/>
        <w:rPr>
          <w:sz w:val="22"/>
          <w:szCs w:val="22"/>
          <w:lang w:val="en-GB"/>
        </w:rPr>
      </w:pPr>
      <w:r w:rsidRPr="005B08D8">
        <w:rPr>
          <w:sz w:val="22"/>
          <w:szCs w:val="22"/>
          <w:lang w:val="en-GB"/>
        </w:rPr>
        <w:lastRenderedPageBreak/>
        <w:t>These 3 items are discussed below in separate sections.</w:t>
      </w:r>
    </w:p>
    <w:p w:rsidR="007A73B2" w:rsidRPr="005B08D8" w:rsidRDefault="0078303B">
      <w:pPr>
        <w:spacing w:before="0" w:after="120" w:line="280" w:lineRule="auto"/>
        <w:ind w:left="0" w:firstLine="0"/>
        <w:rPr>
          <w:b/>
          <w:sz w:val="24"/>
          <w:szCs w:val="24"/>
          <w:lang w:val="en-GB"/>
        </w:rPr>
      </w:pPr>
      <w:r w:rsidRPr="005B08D8">
        <w:rPr>
          <w:b/>
          <w:sz w:val="24"/>
          <w:szCs w:val="24"/>
          <w:lang w:val="en-GB"/>
        </w:rPr>
        <w:t>Proposal #1 - It is proposed to include the consideration of an NB-</w:t>
      </w:r>
      <w:proofErr w:type="spellStart"/>
      <w:r w:rsidRPr="005B08D8">
        <w:rPr>
          <w:b/>
          <w:sz w:val="24"/>
          <w:szCs w:val="24"/>
          <w:lang w:val="en-GB"/>
        </w:rPr>
        <w:t>IoT</w:t>
      </w:r>
      <w:proofErr w:type="spellEnd"/>
      <w:r w:rsidRPr="005B08D8">
        <w:rPr>
          <w:b/>
          <w:sz w:val="24"/>
          <w:szCs w:val="24"/>
          <w:lang w:val="en-GB"/>
        </w:rPr>
        <w:t xml:space="preserve"> scenario for microsatellites in low density LEO constellations during the study item work.</w:t>
      </w:r>
    </w:p>
    <w:p w:rsidR="005B08D8" w:rsidRPr="005B08D8" w:rsidRDefault="005B08D8">
      <w:pPr>
        <w:spacing w:before="0" w:after="120" w:line="280" w:lineRule="auto"/>
        <w:ind w:left="0" w:firstLine="0"/>
        <w:rPr>
          <w:b/>
          <w:sz w:val="24"/>
          <w:szCs w:val="24"/>
          <w:lang w:val="en-GB"/>
        </w:rPr>
      </w:pPr>
    </w:p>
    <w:p w:rsidR="007A73B2" w:rsidRPr="005B08D8" w:rsidRDefault="0078303B">
      <w:pPr>
        <w:pStyle w:val="Heading1"/>
        <w:spacing w:line="480" w:lineRule="auto"/>
        <w:ind w:left="0" w:firstLine="0"/>
        <w:rPr>
          <w:b/>
          <w:lang w:val="en-GB"/>
        </w:rPr>
      </w:pPr>
      <w:bookmarkStart w:id="1" w:name="_piiz5teu6m0j" w:colFirst="0" w:colLast="0"/>
      <w:bookmarkEnd w:id="1"/>
      <w:r w:rsidRPr="005B08D8">
        <w:rPr>
          <w:b/>
          <w:lang w:val="en-GB"/>
        </w:rPr>
        <w:t>3. Link budget considerations</w:t>
      </w:r>
    </w:p>
    <w:p w:rsidR="007A73B2" w:rsidRPr="005B08D8" w:rsidRDefault="0078303B" w:rsidP="005B08D8">
      <w:pPr>
        <w:tabs>
          <w:tab w:val="left" w:pos="0"/>
        </w:tabs>
        <w:ind w:left="0" w:firstLine="0"/>
        <w:rPr>
          <w:sz w:val="22"/>
          <w:szCs w:val="22"/>
          <w:lang w:val="en-GB"/>
        </w:rPr>
      </w:pPr>
      <w:r w:rsidRPr="005B08D8">
        <w:rPr>
          <w:sz w:val="22"/>
          <w:szCs w:val="22"/>
          <w:lang w:val="en-GB"/>
        </w:rPr>
        <w:t>T</w:t>
      </w:r>
      <w:r w:rsidRPr="005B08D8">
        <w:rPr>
          <w:sz w:val="22"/>
          <w:szCs w:val="22"/>
          <w:lang w:val="en-GB"/>
        </w:rPr>
        <w:t xml:space="preserve">he satellite and UE parameters considered for the link budget estimation in the proposed scenario are consistent with the NTN reference parameters considered in TR 38.821 [3]. </w:t>
      </w:r>
    </w:p>
    <w:p w:rsidR="007A73B2" w:rsidRPr="005B08D8" w:rsidRDefault="0078303B" w:rsidP="005B08D8">
      <w:pPr>
        <w:tabs>
          <w:tab w:val="left" w:pos="0"/>
        </w:tabs>
        <w:ind w:left="0" w:firstLine="0"/>
        <w:rPr>
          <w:sz w:val="22"/>
          <w:szCs w:val="22"/>
          <w:lang w:val="en-GB"/>
        </w:rPr>
      </w:pPr>
      <w:r w:rsidRPr="005B08D8">
        <w:rPr>
          <w:sz w:val="22"/>
          <w:szCs w:val="22"/>
          <w:lang w:val="en-GB"/>
        </w:rPr>
        <w:t xml:space="preserve">In particular, the satellite parameters “Set 2” in TR 38.821 for a LEO-600 configuration in S-band (i.e. 2 GHz) is taken as a reference and, on this basis, </w:t>
      </w:r>
      <w:proofErr w:type="gramStart"/>
      <w:r w:rsidRPr="005B08D8">
        <w:rPr>
          <w:sz w:val="22"/>
          <w:szCs w:val="22"/>
          <w:lang w:val="en-GB"/>
        </w:rPr>
        <w:t>a new satellite parameters</w:t>
      </w:r>
      <w:proofErr w:type="gramEnd"/>
      <w:r w:rsidRPr="005B08D8">
        <w:rPr>
          <w:sz w:val="22"/>
          <w:szCs w:val="22"/>
          <w:lang w:val="en-GB"/>
        </w:rPr>
        <w:t xml:space="preserve"> “Set 3” is defined to better account for the characteristics of the propo</w:t>
      </w:r>
      <w:r w:rsidRPr="005B08D8">
        <w:rPr>
          <w:sz w:val="22"/>
          <w:szCs w:val="22"/>
          <w:lang w:val="en-GB"/>
        </w:rPr>
        <w:t xml:space="preserve">sed scenario. </w:t>
      </w:r>
    </w:p>
    <w:p w:rsidR="007A73B2" w:rsidRPr="005B08D8" w:rsidRDefault="0078303B" w:rsidP="005B08D8">
      <w:pPr>
        <w:tabs>
          <w:tab w:val="left" w:pos="0"/>
        </w:tabs>
        <w:ind w:left="0" w:firstLine="0"/>
        <w:rPr>
          <w:sz w:val="22"/>
          <w:szCs w:val="22"/>
          <w:lang w:val="en-GB"/>
        </w:rPr>
      </w:pPr>
      <w:r w:rsidRPr="005B08D8">
        <w:rPr>
          <w:sz w:val="22"/>
          <w:szCs w:val="22"/>
          <w:lang w:val="en-GB"/>
        </w:rPr>
        <w:t>Table 1 provides the satellite parameters “Set 2 -TR38.821” and a new proposed “Set 3 - Microsatellite/low density LEO scenario”, highlighting in bold the changes between the two. Likewise, Table 2 provides the assumptions on the UE side for</w:t>
      </w:r>
      <w:r w:rsidRPr="005B08D8">
        <w:rPr>
          <w:sz w:val="22"/>
          <w:szCs w:val="22"/>
          <w:lang w:val="en-GB"/>
        </w:rPr>
        <w:t xml:space="preserve"> both scenarios. Justification on the proposed new values follow. </w:t>
      </w:r>
    </w:p>
    <w:p w:rsidR="007A73B2" w:rsidRPr="005B08D8" w:rsidRDefault="0078303B">
      <w:pPr>
        <w:tabs>
          <w:tab w:val="left" w:pos="0"/>
        </w:tabs>
        <w:spacing w:before="240" w:after="240"/>
        <w:ind w:left="0" w:firstLine="0"/>
        <w:jc w:val="center"/>
        <w:rPr>
          <w:b/>
          <w:lang w:val="en-GB"/>
        </w:rPr>
      </w:pPr>
      <w:r w:rsidRPr="005B08D8">
        <w:rPr>
          <w:b/>
          <w:lang w:val="en-GB"/>
        </w:rPr>
        <w:t>Table 1. Satellite parameters for link budget computation</w:t>
      </w:r>
    </w:p>
    <w:tbl>
      <w:tblPr>
        <w:tblStyle w:val="a"/>
        <w:tblW w:w="96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12"/>
        <w:gridCol w:w="3213"/>
        <w:gridCol w:w="3213"/>
      </w:tblGrid>
      <w:tr w:rsidR="007A73B2" w:rsidRPr="005B08D8">
        <w:tc>
          <w:tcPr>
            <w:tcW w:w="3212" w:type="dxa"/>
            <w:shd w:val="clear" w:color="auto" w:fill="auto"/>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left"/>
              <w:rPr>
                <w:lang w:val="en-GB"/>
              </w:rPr>
            </w:pPr>
          </w:p>
        </w:tc>
        <w:tc>
          <w:tcPr>
            <w:tcW w:w="3212"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REFERENCE CONFIGURATION:</w:t>
            </w:r>
          </w:p>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“Set-2 -TR 38.821”</w:t>
            </w:r>
          </w:p>
        </w:tc>
        <w:tc>
          <w:tcPr>
            <w:tcW w:w="3212"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PROPOSED CONFIGURATION: “Set-3 - Microsatellite/low density LEO scenario”</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Satellite orbit</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LEO-600</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LEO-600</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Satellite altitude</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600 km</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600 km</w:t>
            </w:r>
          </w:p>
        </w:tc>
      </w:tr>
      <w:tr w:rsidR="007A73B2" w:rsidRPr="005B08D8">
        <w:trPr>
          <w:trHeight w:val="400"/>
        </w:trPr>
        <w:tc>
          <w:tcPr>
            <w:tcW w:w="9636" w:type="dxa"/>
            <w:gridSpan w:val="3"/>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lang w:val="en-GB"/>
              </w:rPr>
            </w:pPr>
            <w:r w:rsidRPr="005B08D8">
              <w:rPr>
                <w:lang w:val="en-GB"/>
              </w:rPr>
              <w:t>Payload characteristics for DL transmission</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Frequency band</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S-band (i.e. 2 GHz)</w:t>
            </w:r>
          </w:p>
        </w:tc>
        <w:tc>
          <w:tcPr>
            <w:tcW w:w="3212"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left"/>
              <w:rPr>
                <w:lang w:val="en-GB"/>
              </w:rPr>
            </w:pPr>
            <w:r w:rsidRPr="005B08D8">
              <w:rPr>
                <w:lang w:val="en-GB"/>
              </w:rPr>
              <w:t>S-band (i.e. 2 GHz)</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Satellite EIRP density</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28 </w:t>
            </w:r>
            <w:proofErr w:type="spellStart"/>
            <w:r w:rsidRPr="005B08D8">
              <w:rPr>
                <w:lang w:val="en-GB"/>
              </w:rPr>
              <w:t>dBW</w:t>
            </w:r>
            <w:proofErr w:type="spellEnd"/>
            <w:r w:rsidRPr="005B08D8">
              <w:rPr>
                <w:lang w:val="en-GB"/>
              </w:rPr>
              <w:t xml:space="preserve"> / MHz</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 xml:space="preserve">21.45 </w:t>
            </w:r>
            <w:proofErr w:type="spellStart"/>
            <w:r w:rsidRPr="005B08D8">
              <w:rPr>
                <w:b/>
                <w:lang w:val="en-GB"/>
              </w:rPr>
              <w:t>dBW</w:t>
            </w:r>
            <w:proofErr w:type="spellEnd"/>
            <w:r w:rsidRPr="005B08D8">
              <w:rPr>
                <w:b/>
                <w:lang w:val="en-GB"/>
              </w:rPr>
              <w:t>/MHz</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Satellite </w:t>
            </w:r>
            <w:proofErr w:type="spellStart"/>
            <w:r w:rsidRPr="005B08D8">
              <w:rPr>
                <w:lang w:val="en-GB"/>
              </w:rPr>
              <w:t>Tx</w:t>
            </w:r>
            <w:proofErr w:type="spellEnd"/>
            <w:r w:rsidRPr="005B08D8">
              <w:rPr>
                <w:lang w:val="en-GB"/>
              </w:rPr>
              <w:t xml:space="preserve"> max Gain</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24 </w:t>
            </w:r>
            <w:proofErr w:type="spellStart"/>
            <w:r w:rsidRPr="005B08D8">
              <w:rPr>
                <w:lang w:val="en-GB"/>
              </w:rPr>
              <w:t>dBi</w:t>
            </w:r>
            <w:proofErr w:type="spellEnd"/>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 xml:space="preserve">11 </w:t>
            </w:r>
            <w:proofErr w:type="spellStart"/>
            <w:r w:rsidRPr="005B08D8">
              <w:rPr>
                <w:b/>
                <w:lang w:val="en-GB"/>
              </w:rPr>
              <w:t>dBi</w:t>
            </w:r>
            <w:proofErr w:type="spellEnd"/>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3dB </w:t>
            </w:r>
            <w:proofErr w:type="spellStart"/>
            <w:r w:rsidRPr="005B08D8">
              <w:rPr>
                <w:lang w:val="en-GB"/>
              </w:rPr>
              <w:t>beamwidth</w:t>
            </w:r>
            <w:proofErr w:type="spellEnd"/>
            <w:r w:rsidR="005B08D8" w:rsidRPr="005B08D8">
              <w:rPr>
                <w:lang w:val="en-GB"/>
              </w:rPr>
              <w:t xml:space="preserve"> </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8.83º</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60º</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Satellite beam diameter (at nadir pointing)</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90 km</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700 km</w:t>
            </w:r>
          </w:p>
        </w:tc>
      </w:tr>
      <w:tr w:rsidR="007A73B2" w:rsidRPr="005B08D8">
        <w:trPr>
          <w:trHeight w:val="400"/>
        </w:trPr>
        <w:tc>
          <w:tcPr>
            <w:tcW w:w="9636" w:type="dxa"/>
            <w:gridSpan w:val="3"/>
            <w:shd w:val="clear" w:color="auto" w:fill="D9D9D9"/>
            <w:tcMar>
              <w:top w:w="100" w:type="dxa"/>
              <w:left w:w="100" w:type="dxa"/>
              <w:bottom w:w="100" w:type="dxa"/>
              <w:right w:w="100" w:type="dxa"/>
            </w:tcMar>
          </w:tcPr>
          <w:p w:rsidR="007A73B2" w:rsidRPr="005B08D8" w:rsidRDefault="0078303B">
            <w:pPr>
              <w:widowControl w:val="0"/>
              <w:spacing w:before="0" w:after="0"/>
              <w:ind w:left="0" w:firstLine="0"/>
              <w:jc w:val="center"/>
              <w:rPr>
                <w:lang w:val="en-GB"/>
              </w:rPr>
            </w:pPr>
            <w:r w:rsidRPr="005B08D8">
              <w:rPr>
                <w:lang w:val="en-GB"/>
              </w:rPr>
              <w:t>Payload characteristics for UL transmission</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spacing w:before="0" w:after="0"/>
              <w:ind w:left="0" w:firstLine="0"/>
              <w:jc w:val="left"/>
              <w:rPr>
                <w:lang w:val="en-GB"/>
              </w:rPr>
            </w:pPr>
            <w:r w:rsidRPr="005B08D8">
              <w:rPr>
                <w:lang w:val="en-GB"/>
              </w:rPr>
              <w:t>Frequency band</w:t>
            </w:r>
          </w:p>
        </w:tc>
        <w:tc>
          <w:tcPr>
            <w:tcW w:w="3212"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left"/>
              <w:rPr>
                <w:lang w:val="en-GB"/>
              </w:rPr>
            </w:pPr>
            <w:r w:rsidRPr="005B08D8">
              <w:rPr>
                <w:lang w:val="en-GB"/>
              </w:rPr>
              <w:t>S-band (i.e. 2 GHz)</w:t>
            </w:r>
          </w:p>
        </w:tc>
        <w:tc>
          <w:tcPr>
            <w:tcW w:w="3212"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left"/>
              <w:rPr>
                <w:lang w:val="en-GB"/>
              </w:rPr>
            </w:pPr>
            <w:r w:rsidRPr="005B08D8">
              <w:rPr>
                <w:lang w:val="en-GB"/>
              </w:rPr>
              <w:t>S-band (i.e. 2 GHz)</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G/T</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vertAlign w:val="superscript"/>
                <w:lang w:val="en-GB"/>
              </w:rPr>
            </w:pPr>
            <w:r w:rsidRPr="005B08D8">
              <w:rPr>
                <w:lang w:val="en-GB"/>
              </w:rPr>
              <w:t>-4.9 dB·K</w:t>
            </w:r>
            <w:r w:rsidRPr="005B08D8">
              <w:rPr>
                <w:vertAlign w:val="superscript"/>
                <w:lang w:val="en-GB"/>
              </w:rPr>
              <w:t>-1</w:t>
            </w:r>
          </w:p>
        </w:tc>
        <w:tc>
          <w:tcPr>
            <w:tcW w:w="3212" w:type="dxa"/>
            <w:tcMar>
              <w:top w:w="100" w:type="dxa"/>
              <w:left w:w="100" w:type="dxa"/>
              <w:bottom w:w="100" w:type="dxa"/>
              <w:right w:w="100" w:type="dxa"/>
            </w:tcMar>
          </w:tcPr>
          <w:p w:rsidR="007A73B2" w:rsidRPr="005B08D8" w:rsidRDefault="0078303B">
            <w:pPr>
              <w:spacing w:before="0" w:after="0"/>
              <w:ind w:left="0" w:firstLine="0"/>
              <w:rPr>
                <w:b/>
                <w:vertAlign w:val="superscript"/>
                <w:lang w:val="en-GB"/>
              </w:rPr>
            </w:pPr>
            <w:r w:rsidRPr="005B08D8">
              <w:rPr>
                <w:b/>
                <w:lang w:val="en-GB"/>
              </w:rPr>
              <w:t>- 17.9 dB·K</w:t>
            </w:r>
            <w:r w:rsidRPr="005B08D8">
              <w:rPr>
                <w:b/>
                <w:vertAlign w:val="superscript"/>
                <w:lang w:val="en-GB"/>
              </w:rPr>
              <w:t>-1</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Satellite Rx max Gain</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24 </w:t>
            </w:r>
            <w:proofErr w:type="spellStart"/>
            <w:r w:rsidRPr="005B08D8">
              <w:rPr>
                <w:lang w:val="en-GB"/>
              </w:rPr>
              <w:t>dBi</w:t>
            </w:r>
            <w:proofErr w:type="spellEnd"/>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 xml:space="preserve">11 </w:t>
            </w:r>
            <w:proofErr w:type="spellStart"/>
            <w:r w:rsidRPr="005B08D8">
              <w:rPr>
                <w:b/>
                <w:lang w:val="en-GB"/>
              </w:rPr>
              <w:t>dBi</w:t>
            </w:r>
            <w:proofErr w:type="spellEnd"/>
          </w:p>
        </w:tc>
      </w:tr>
    </w:tbl>
    <w:p w:rsidR="007A73B2" w:rsidRPr="005B08D8" w:rsidRDefault="007A73B2">
      <w:pPr>
        <w:tabs>
          <w:tab w:val="left" w:pos="0"/>
        </w:tabs>
        <w:spacing w:before="240" w:after="240"/>
        <w:ind w:left="0" w:firstLine="0"/>
        <w:rPr>
          <w:lang w:val="en-GB"/>
        </w:rPr>
      </w:pPr>
    </w:p>
    <w:p w:rsidR="007A73B2" w:rsidRPr="005B08D8" w:rsidRDefault="007A73B2">
      <w:pPr>
        <w:tabs>
          <w:tab w:val="left" w:pos="0"/>
        </w:tabs>
        <w:spacing w:before="240" w:after="240"/>
        <w:ind w:left="0" w:firstLine="0"/>
        <w:rPr>
          <w:lang w:val="en-GB"/>
        </w:rPr>
      </w:pPr>
    </w:p>
    <w:p w:rsidR="007A73B2" w:rsidRPr="005B08D8" w:rsidRDefault="007A73B2">
      <w:pPr>
        <w:tabs>
          <w:tab w:val="left" w:pos="0"/>
        </w:tabs>
        <w:spacing w:before="240" w:after="240"/>
        <w:ind w:left="0" w:firstLine="0"/>
        <w:rPr>
          <w:lang w:val="en-GB"/>
        </w:rPr>
      </w:pPr>
    </w:p>
    <w:p w:rsidR="007A73B2" w:rsidRPr="005B08D8" w:rsidRDefault="0078303B">
      <w:pPr>
        <w:tabs>
          <w:tab w:val="left" w:pos="0"/>
        </w:tabs>
        <w:spacing w:before="240" w:after="240"/>
        <w:ind w:left="0" w:firstLine="0"/>
        <w:jc w:val="center"/>
        <w:rPr>
          <w:lang w:val="en-GB"/>
        </w:rPr>
      </w:pPr>
      <w:r w:rsidRPr="005B08D8">
        <w:rPr>
          <w:b/>
          <w:lang w:val="en-GB"/>
        </w:rPr>
        <w:lastRenderedPageBreak/>
        <w:t>Table 2. UE parameters for link budget computation</w:t>
      </w:r>
    </w:p>
    <w:tbl>
      <w:tblPr>
        <w:tblStyle w:val="a0"/>
        <w:tblW w:w="96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12"/>
        <w:gridCol w:w="3213"/>
        <w:gridCol w:w="3213"/>
      </w:tblGrid>
      <w:tr w:rsidR="007A73B2" w:rsidRPr="005B08D8">
        <w:tc>
          <w:tcPr>
            <w:tcW w:w="3212" w:type="dxa"/>
            <w:shd w:val="clear" w:color="auto" w:fill="auto"/>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left"/>
              <w:rPr>
                <w:lang w:val="en-GB"/>
              </w:rPr>
            </w:pPr>
          </w:p>
        </w:tc>
        <w:tc>
          <w:tcPr>
            <w:tcW w:w="3212" w:type="dxa"/>
            <w:shd w:val="clear" w:color="auto" w:fill="B7B7B7"/>
            <w:tcMar>
              <w:top w:w="100" w:type="dxa"/>
              <w:left w:w="100" w:type="dxa"/>
              <w:bottom w:w="100" w:type="dxa"/>
              <w:right w:w="100" w:type="dxa"/>
            </w:tcMar>
          </w:tcPr>
          <w:p w:rsidR="007A73B2" w:rsidRPr="005B08D8" w:rsidRDefault="0078303B">
            <w:pPr>
              <w:widowControl w:val="0"/>
              <w:spacing w:before="0" w:after="0"/>
              <w:ind w:left="0" w:firstLine="0"/>
              <w:jc w:val="left"/>
              <w:rPr>
                <w:b/>
                <w:lang w:val="en-GB"/>
              </w:rPr>
            </w:pPr>
            <w:r w:rsidRPr="005B08D8">
              <w:rPr>
                <w:b/>
                <w:lang w:val="en-GB"/>
              </w:rPr>
              <w:t>REFERENCE CONFIGURATION:</w:t>
            </w:r>
          </w:p>
          <w:p w:rsidR="007A73B2" w:rsidRPr="005B08D8" w:rsidRDefault="0078303B">
            <w:pPr>
              <w:widowControl w:val="0"/>
              <w:spacing w:before="0" w:after="0"/>
              <w:ind w:left="0" w:firstLine="0"/>
              <w:jc w:val="left"/>
              <w:rPr>
                <w:lang w:val="en-GB"/>
              </w:rPr>
            </w:pPr>
            <w:r w:rsidRPr="005B08D8">
              <w:rPr>
                <w:b/>
                <w:lang w:val="en-GB"/>
              </w:rPr>
              <w:t>Set-2 configuration in TR 38.821</w:t>
            </w:r>
          </w:p>
        </w:tc>
        <w:tc>
          <w:tcPr>
            <w:tcW w:w="3212" w:type="dxa"/>
            <w:shd w:val="clear" w:color="auto" w:fill="B7B7B7"/>
            <w:tcMar>
              <w:top w:w="100" w:type="dxa"/>
              <w:left w:w="100" w:type="dxa"/>
              <w:bottom w:w="100" w:type="dxa"/>
              <w:right w:w="100" w:type="dxa"/>
            </w:tcMar>
          </w:tcPr>
          <w:p w:rsidR="007A73B2" w:rsidRPr="005B08D8" w:rsidRDefault="0078303B">
            <w:pPr>
              <w:widowControl w:val="0"/>
              <w:spacing w:before="0" w:after="0"/>
              <w:ind w:left="0" w:firstLine="0"/>
              <w:jc w:val="left"/>
              <w:rPr>
                <w:lang w:val="en-GB"/>
              </w:rPr>
            </w:pPr>
            <w:r w:rsidRPr="005B08D8">
              <w:rPr>
                <w:b/>
                <w:lang w:val="en-GB"/>
              </w:rPr>
              <w:t>Proposed UE/NB-</w:t>
            </w:r>
            <w:proofErr w:type="spellStart"/>
            <w:r w:rsidRPr="005B08D8">
              <w:rPr>
                <w:b/>
                <w:lang w:val="en-GB"/>
              </w:rPr>
              <w:t>IoT</w:t>
            </w:r>
            <w:proofErr w:type="spellEnd"/>
            <w:r w:rsidRPr="005B08D8">
              <w:rPr>
                <w:b/>
                <w:lang w:val="en-GB"/>
              </w:rPr>
              <w:t xml:space="preserve"> device configuration for micro-sat scenario</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Characteristics</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Handheld</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NB-</w:t>
            </w:r>
            <w:proofErr w:type="spellStart"/>
            <w:r w:rsidRPr="005B08D8">
              <w:rPr>
                <w:b/>
                <w:lang w:val="en-GB"/>
              </w:rPr>
              <w:t>IoT</w:t>
            </w:r>
            <w:proofErr w:type="spellEnd"/>
            <w:r w:rsidRPr="005B08D8">
              <w:rPr>
                <w:b/>
                <w:lang w:val="en-GB"/>
              </w:rPr>
              <w:t xml:space="preserve"> device</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Frequency band</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S band (i.e. 2 GHz)</w:t>
            </w:r>
          </w:p>
        </w:tc>
        <w:tc>
          <w:tcPr>
            <w:tcW w:w="3212"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left"/>
              <w:rPr>
                <w:lang w:val="en-GB"/>
              </w:rPr>
            </w:pPr>
            <w:r w:rsidRPr="005B08D8">
              <w:rPr>
                <w:lang w:val="en-GB"/>
              </w:rPr>
              <w:t>S band (i.e. 2 GHz)</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Antenna type and configuration</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(1, 1, 2) with </w:t>
            </w:r>
            <w:proofErr w:type="spellStart"/>
            <w:r w:rsidRPr="005B08D8">
              <w:rPr>
                <w:lang w:val="en-GB"/>
              </w:rPr>
              <w:t>omni</w:t>
            </w:r>
            <w:proofErr w:type="spellEnd"/>
            <w:r w:rsidRPr="005B08D8">
              <w:rPr>
                <w:lang w:val="en-GB"/>
              </w:rPr>
              <w:t>-directional antenna element</w:t>
            </w:r>
          </w:p>
        </w:tc>
        <w:tc>
          <w:tcPr>
            <w:tcW w:w="3212"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left"/>
              <w:rPr>
                <w:lang w:val="en-GB"/>
              </w:rPr>
            </w:pPr>
            <w:r w:rsidRPr="005B08D8">
              <w:rPr>
                <w:lang w:val="en-GB"/>
              </w:rPr>
              <w:t xml:space="preserve">(1, 1, </w:t>
            </w:r>
            <w:r w:rsidRPr="005B08D8">
              <w:rPr>
                <w:b/>
                <w:lang w:val="en-GB"/>
              </w:rPr>
              <w:t>1</w:t>
            </w:r>
            <w:r w:rsidRPr="005B08D8">
              <w:rPr>
                <w:lang w:val="en-GB"/>
              </w:rPr>
              <w:t xml:space="preserve">) with </w:t>
            </w:r>
            <w:proofErr w:type="spellStart"/>
            <w:r w:rsidRPr="005B08D8">
              <w:rPr>
                <w:lang w:val="en-GB"/>
              </w:rPr>
              <w:t>omni</w:t>
            </w:r>
            <w:proofErr w:type="spellEnd"/>
            <w:r w:rsidRPr="005B08D8">
              <w:rPr>
                <w:lang w:val="en-GB"/>
              </w:rPr>
              <w:t>-directional antenna element</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Polarisation</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Linear: +/-45°X-pol</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b/>
                <w:lang w:val="en-GB"/>
              </w:rPr>
            </w:pPr>
            <w:r w:rsidRPr="005B08D8">
              <w:rPr>
                <w:b/>
                <w:lang w:val="en-GB"/>
              </w:rPr>
              <w:t>Linear</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Rx antenna gain</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0 </w:t>
            </w:r>
            <w:proofErr w:type="spellStart"/>
            <w:r w:rsidRPr="005B08D8">
              <w:rPr>
                <w:lang w:val="en-GB"/>
              </w:rPr>
              <w:t>dBi</w:t>
            </w:r>
            <w:proofErr w:type="spellEnd"/>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0 </w:t>
            </w:r>
            <w:proofErr w:type="spellStart"/>
            <w:r w:rsidRPr="005B08D8">
              <w:rPr>
                <w:lang w:val="en-GB"/>
              </w:rPr>
              <w:t>dBi</w:t>
            </w:r>
            <w:proofErr w:type="spellEnd"/>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Antenna temperature</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290 K</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290 K</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Noise figure</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7 dB</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7 dB</w:t>
            </w:r>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proofErr w:type="spellStart"/>
            <w:r w:rsidRPr="005B08D8">
              <w:rPr>
                <w:lang w:val="en-GB"/>
              </w:rPr>
              <w:t>Tx</w:t>
            </w:r>
            <w:proofErr w:type="spellEnd"/>
            <w:r w:rsidRPr="005B08D8">
              <w:rPr>
                <w:lang w:val="en-GB"/>
              </w:rPr>
              <w:t xml:space="preserve"> transmit power</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23 </w:t>
            </w:r>
            <w:proofErr w:type="spellStart"/>
            <w:r w:rsidRPr="005B08D8">
              <w:rPr>
                <w:lang w:val="en-GB"/>
              </w:rPr>
              <w:t>dBm</w:t>
            </w:r>
            <w:proofErr w:type="spellEnd"/>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23 </w:t>
            </w:r>
            <w:proofErr w:type="spellStart"/>
            <w:r w:rsidRPr="005B08D8">
              <w:rPr>
                <w:lang w:val="en-GB"/>
              </w:rPr>
              <w:t>dBm</w:t>
            </w:r>
            <w:proofErr w:type="spellEnd"/>
          </w:p>
        </w:tc>
      </w:tr>
      <w:tr w:rsidR="007A73B2" w:rsidRPr="005B08D8">
        <w:tc>
          <w:tcPr>
            <w:tcW w:w="3212" w:type="dxa"/>
            <w:shd w:val="clear" w:color="auto" w:fill="D9D9D9"/>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proofErr w:type="spellStart"/>
            <w:r w:rsidRPr="005B08D8">
              <w:rPr>
                <w:lang w:val="en-GB"/>
              </w:rPr>
              <w:t>Tx</w:t>
            </w:r>
            <w:proofErr w:type="spellEnd"/>
            <w:r w:rsidRPr="005B08D8">
              <w:rPr>
                <w:lang w:val="en-GB"/>
              </w:rPr>
              <w:t xml:space="preserve"> antenna gain</w:t>
            </w:r>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0 </w:t>
            </w:r>
            <w:proofErr w:type="spellStart"/>
            <w:r w:rsidRPr="005B08D8">
              <w:rPr>
                <w:lang w:val="en-GB"/>
              </w:rPr>
              <w:t>dBi</w:t>
            </w:r>
            <w:proofErr w:type="spellEnd"/>
          </w:p>
        </w:tc>
        <w:tc>
          <w:tcPr>
            <w:tcW w:w="3212"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left"/>
              <w:rPr>
                <w:lang w:val="en-GB"/>
              </w:rPr>
            </w:pPr>
            <w:r w:rsidRPr="005B08D8">
              <w:rPr>
                <w:lang w:val="en-GB"/>
              </w:rPr>
              <w:t xml:space="preserve">0 </w:t>
            </w:r>
            <w:proofErr w:type="spellStart"/>
            <w:r w:rsidRPr="005B08D8">
              <w:rPr>
                <w:lang w:val="en-GB"/>
              </w:rPr>
              <w:t>dBi</w:t>
            </w:r>
            <w:proofErr w:type="spellEnd"/>
          </w:p>
        </w:tc>
      </w:tr>
    </w:tbl>
    <w:p w:rsidR="007A73B2" w:rsidRPr="005B08D8" w:rsidRDefault="007A73B2">
      <w:pPr>
        <w:tabs>
          <w:tab w:val="left" w:pos="0"/>
        </w:tabs>
        <w:spacing w:before="240" w:after="240"/>
        <w:ind w:left="0" w:firstLine="0"/>
        <w:rPr>
          <w:sz w:val="22"/>
          <w:szCs w:val="22"/>
          <w:lang w:val="en-GB"/>
        </w:rPr>
      </w:pPr>
    </w:p>
    <w:p w:rsidR="007A73B2" w:rsidRPr="005B08D8" w:rsidRDefault="0078303B">
      <w:pPr>
        <w:tabs>
          <w:tab w:val="left" w:pos="0"/>
        </w:tabs>
        <w:spacing w:before="240" w:after="240"/>
        <w:ind w:left="0" w:firstLine="0"/>
        <w:rPr>
          <w:sz w:val="22"/>
          <w:szCs w:val="22"/>
          <w:lang w:val="en-GB"/>
        </w:rPr>
      </w:pPr>
      <w:r w:rsidRPr="005B08D8">
        <w:rPr>
          <w:sz w:val="22"/>
          <w:szCs w:val="22"/>
          <w:lang w:val="en-GB"/>
        </w:rPr>
        <w:t>Justifications:</w:t>
      </w:r>
    </w:p>
    <w:p w:rsidR="007A73B2" w:rsidRPr="005B08D8" w:rsidRDefault="0078303B">
      <w:pPr>
        <w:tabs>
          <w:tab w:val="left" w:pos="0"/>
        </w:tabs>
        <w:ind w:left="0" w:firstLine="0"/>
        <w:rPr>
          <w:sz w:val="22"/>
          <w:szCs w:val="22"/>
          <w:u w:val="single"/>
          <w:lang w:val="en-GB"/>
        </w:rPr>
      </w:pPr>
      <w:r w:rsidRPr="005B08D8">
        <w:rPr>
          <w:sz w:val="22"/>
          <w:szCs w:val="22"/>
          <w:u w:val="single"/>
          <w:lang w:val="en-GB"/>
        </w:rPr>
        <w:t xml:space="preserve">A) Satellite antenna gain of 11 </w:t>
      </w:r>
      <w:proofErr w:type="spellStart"/>
      <w:r w:rsidRPr="005B08D8">
        <w:rPr>
          <w:sz w:val="22"/>
          <w:szCs w:val="22"/>
          <w:u w:val="single"/>
          <w:lang w:val="en-GB"/>
        </w:rPr>
        <w:t>dBi</w:t>
      </w:r>
      <w:proofErr w:type="spellEnd"/>
      <w:r w:rsidRPr="005B08D8">
        <w:rPr>
          <w:sz w:val="22"/>
          <w:szCs w:val="22"/>
          <w:u w:val="single"/>
          <w:lang w:val="en-GB"/>
        </w:rPr>
        <w:t xml:space="preserve"> and HPBW=60º</w:t>
      </w:r>
    </w:p>
    <w:p w:rsidR="007A73B2" w:rsidRPr="005B08D8" w:rsidRDefault="0078303B">
      <w:pPr>
        <w:tabs>
          <w:tab w:val="left" w:pos="0"/>
        </w:tabs>
        <w:ind w:left="0" w:firstLine="0"/>
        <w:rPr>
          <w:sz w:val="22"/>
          <w:szCs w:val="22"/>
          <w:lang w:val="en-GB"/>
        </w:rPr>
      </w:pPr>
      <w:r w:rsidRPr="005B08D8">
        <w:rPr>
          <w:sz w:val="22"/>
          <w:szCs w:val="22"/>
          <w:lang w:val="en-GB"/>
        </w:rPr>
        <w:t xml:space="preserve">Considering the physical size available on microsatellites such as </w:t>
      </w:r>
      <w:proofErr w:type="spellStart"/>
      <w:r w:rsidRPr="005B08D8">
        <w:rPr>
          <w:sz w:val="22"/>
          <w:szCs w:val="22"/>
          <w:lang w:val="en-GB"/>
        </w:rPr>
        <w:t>CubeSats</w:t>
      </w:r>
      <w:proofErr w:type="spellEnd"/>
      <w:r w:rsidRPr="005B08D8">
        <w:rPr>
          <w:sz w:val="22"/>
          <w:szCs w:val="22"/>
          <w:lang w:val="en-GB"/>
        </w:rPr>
        <w:t xml:space="preserve">, an antenna gain of 6 to 12 </w:t>
      </w:r>
      <w:proofErr w:type="spellStart"/>
      <w:r w:rsidRPr="005B08D8">
        <w:rPr>
          <w:sz w:val="22"/>
          <w:szCs w:val="22"/>
          <w:lang w:val="en-GB"/>
        </w:rPr>
        <w:t>dBi</w:t>
      </w:r>
      <w:proofErr w:type="spellEnd"/>
      <w:r w:rsidRPr="005B08D8">
        <w:rPr>
          <w:sz w:val="22"/>
          <w:szCs w:val="22"/>
          <w:lang w:val="en-GB"/>
        </w:rPr>
        <w:t xml:space="preserve"> would be achievable, which is below the 24 </w:t>
      </w:r>
      <w:proofErr w:type="spellStart"/>
      <w:r w:rsidRPr="005B08D8">
        <w:rPr>
          <w:sz w:val="22"/>
          <w:szCs w:val="22"/>
          <w:lang w:val="en-GB"/>
        </w:rPr>
        <w:t>dBi</w:t>
      </w:r>
      <w:proofErr w:type="spellEnd"/>
      <w:r w:rsidRPr="005B08D8">
        <w:rPr>
          <w:sz w:val="22"/>
          <w:szCs w:val="22"/>
          <w:lang w:val="en-GB"/>
        </w:rPr>
        <w:t xml:space="preserve"> assumed in TR 38.821 “Set 2</w:t>
      </w:r>
      <w:proofErr w:type="gramStart"/>
      <w:r w:rsidRPr="005B08D8">
        <w:rPr>
          <w:sz w:val="22"/>
          <w:szCs w:val="22"/>
          <w:lang w:val="en-GB"/>
        </w:rPr>
        <w:t>” .</w:t>
      </w:r>
      <w:proofErr w:type="gramEnd"/>
    </w:p>
    <w:p w:rsidR="007A73B2" w:rsidRPr="005B08D8" w:rsidRDefault="0078303B">
      <w:pPr>
        <w:tabs>
          <w:tab w:val="left" w:pos="0"/>
        </w:tabs>
        <w:ind w:left="0" w:firstLine="0"/>
        <w:rPr>
          <w:sz w:val="22"/>
          <w:szCs w:val="22"/>
          <w:lang w:val="en-GB"/>
        </w:rPr>
      </w:pPr>
      <w:r w:rsidRPr="005B08D8">
        <w:rPr>
          <w:sz w:val="22"/>
          <w:szCs w:val="22"/>
          <w:lang w:val="en-GB"/>
        </w:rPr>
        <w:t xml:space="preserve">Indeed, using antenna gains in the low range (i.e. 6 </w:t>
      </w:r>
      <w:proofErr w:type="spellStart"/>
      <w:r w:rsidRPr="005B08D8">
        <w:rPr>
          <w:sz w:val="22"/>
          <w:szCs w:val="22"/>
          <w:lang w:val="en-GB"/>
        </w:rPr>
        <w:t>dBi</w:t>
      </w:r>
      <w:proofErr w:type="spellEnd"/>
      <w:r w:rsidRPr="005B08D8">
        <w:rPr>
          <w:sz w:val="22"/>
          <w:szCs w:val="22"/>
          <w:lang w:val="en-GB"/>
        </w:rPr>
        <w:t>) allows achie</w:t>
      </w:r>
      <w:r w:rsidRPr="005B08D8">
        <w:rPr>
          <w:sz w:val="22"/>
          <w:szCs w:val="22"/>
          <w:lang w:val="en-GB"/>
        </w:rPr>
        <w:t>ving a large field of view (FOV) or satellite footprint with a single beam. This has advantages in terms of revisit times with low density constellations. Though it has disadvantages in terms of link budget.</w:t>
      </w:r>
    </w:p>
    <w:p w:rsidR="007A73B2" w:rsidRPr="005B08D8" w:rsidRDefault="0078303B">
      <w:pPr>
        <w:tabs>
          <w:tab w:val="left" w:pos="0"/>
        </w:tabs>
        <w:ind w:left="0" w:firstLine="0"/>
        <w:rPr>
          <w:sz w:val="22"/>
          <w:szCs w:val="22"/>
          <w:lang w:val="en-GB"/>
        </w:rPr>
      </w:pPr>
      <w:r w:rsidRPr="005B08D8">
        <w:rPr>
          <w:sz w:val="22"/>
          <w:szCs w:val="22"/>
          <w:lang w:val="en-GB"/>
        </w:rPr>
        <w:t>In contrast, using antenna gains in the upper ra</w:t>
      </w:r>
      <w:r w:rsidRPr="005B08D8">
        <w:rPr>
          <w:sz w:val="22"/>
          <w:szCs w:val="22"/>
          <w:lang w:val="en-GB"/>
        </w:rPr>
        <w:t xml:space="preserve">nge (12 </w:t>
      </w:r>
      <w:proofErr w:type="spellStart"/>
      <w:r w:rsidRPr="005B08D8">
        <w:rPr>
          <w:sz w:val="22"/>
          <w:szCs w:val="22"/>
          <w:lang w:val="en-GB"/>
        </w:rPr>
        <w:t>dBi</w:t>
      </w:r>
      <w:proofErr w:type="spellEnd"/>
      <w:r w:rsidRPr="005B08D8">
        <w:rPr>
          <w:sz w:val="22"/>
          <w:szCs w:val="22"/>
          <w:lang w:val="en-GB"/>
        </w:rPr>
        <w:t>) provides a better link budget but lowers the satellite footprint achievable within a single beam. Moreover, the realization of multi-beam configurations in microsatellites in order not to increase the revisit time is also a limiting factor, du</w:t>
      </w:r>
      <w:r w:rsidRPr="005B08D8">
        <w:rPr>
          <w:sz w:val="22"/>
          <w:szCs w:val="22"/>
          <w:lang w:val="en-GB"/>
        </w:rPr>
        <w:t>e to size and power constraints. Achievable multi-beam configurations would be in the order of 3-5 beams per satellite, which is again significantly lower than the number of beams resulting from the consideration of TR 38.821 “Set 2”, which is in the order</w:t>
      </w:r>
      <w:r w:rsidRPr="005B08D8">
        <w:rPr>
          <w:sz w:val="22"/>
          <w:szCs w:val="22"/>
          <w:lang w:val="en-GB"/>
        </w:rPr>
        <w:t xml:space="preserve"> of hundreds.   </w:t>
      </w:r>
    </w:p>
    <w:p w:rsidR="007A73B2" w:rsidRPr="005B08D8" w:rsidRDefault="0078303B">
      <w:pPr>
        <w:tabs>
          <w:tab w:val="left" w:pos="0"/>
        </w:tabs>
        <w:ind w:left="0" w:firstLine="0"/>
        <w:rPr>
          <w:sz w:val="22"/>
          <w:szCs w:val="22"/>
          <w:lang w:val="en-GB"/>
        </w:rPr>
      </w:pPr>
      <w:r w:rsidRPr="005B08D8">
        <w:rPr>
          <w:sz w:val="22"/>
          <w:szCs w:val="22"/>
          <w:lang w:val="en-GB"/>
        </w:rPr>
        <w:t xml:space="preserve">In light of the above, to illustrate the link budget values achievable under practical, state-of-the-art, technologies, it is proposed to consider an antenna gain of 11 </w:t>
      </w:r>
      <w:proofErr w:type="spellStart"/>
      <w:r w:rsidRPr="005B08D8">
        <w:rPr>
          <w:sz w:val="22"/>
          <w:szCs w:val="22"/>
          <w:lang w:val="en-GB"/>
        </w:rPr>
        <w:t>dBi</w:t>
      </w:r>
      <w:proofErr w:type="spellEnd"/>
      <w:r w:rsidRPr="005B08D8">
        <w:rPr>
          <w:sz w:val="22"/>
          <w:szCs w:val="22"/>
          <w:lang w:val="en-GB"/>
        </w:rPr>
        <w:t xml:space="preserve"> and HPBW=60º. This represents what can be achieved in microsatelli</w:t>
      </w:r>
      <w:r w:rsidRPr="005B08D8">
        <w:rPr>
          <w:sz w:val="22"/>
          <w:szCs w:val="22"/>
          <w:lang w:val="en-GB"/>
        </w:rPr>
        <w:t>te scenarios while not favouring any specific implementation approach that would be out of scope of the 3GPP.</w:t>
      </w:r>
    </w:p>
    <w:p w:rsidR="007A73B2" w:rsidRPr="005B08D8" w:rsidRDefault="0078303B">
      <w:pPr>
        <w:tabs>
          <w:tab w:val="left" w:pos="0"/>
        </w:tabs>
        <w:ind w:left="0" w:firstLine="0"/>
        <w:rPr>
          <w:sz w:val="22"/>
          <w:szCs w:val="22"/>
          <w:u w:val="single"/>
          <w:lang w:val="en-GB"/>
        </w:rPr>
      </w:pPr>
      <w:r w:rsidRPr="005B08D8">
        <w:rPr>
          <w:sz w:val="22"/>
          <w:szCs w:val="22"/>
          <w:u w:val="single"/>
          <w:lang w:val="en-GB"/>
        </w:rPr>
        <w:t xml:space="preserve">B) Single linear antenna in the UE / </w:t>
      </w:r>
      <w:proofErr w:type="spellStart"/>
      <w:r w:rsidRPr="005B08D8">
        <w:rPr>
          <w:sz w:val="22"/>
          <w:szCs w:val="22"/>
          <w:u w:val="single"/>
          <w:lang w:val="en-GB"/>
        </w:rPr>
        <w:t>IoT</w:t>
      </w:r>
      <w:proofErr w:type="spellEnd"/>
      <w:r w:rsidRPr="005B08D8">
        <w:rPr>
          <w:sz w:val="22"/>
          <w:szCs w:val="22"/>
          <w:u w:val="single"/>
          <w:lang w:val="en-GB"/>
        </w:rPr>
        <w:t xml:space="preserve"> device side</w:t>
      </w:r>
    </w:p>
    <w:p w:rsidR="007A73B2" w:rsidRPr="005B08D8" w:rsidRDefault="0078303B">
      <w:pPr>
        <w:tabs>
          <w:tab w:val="left" w:pos="0"/>
        </w:tabs>
        <w:ind w:left="0" w:firstLine="0"/>
        <w:rPr>
          <w:sz w:val="22"/>
          <w:szCs w:val="22"/>
          <w:lang w:val="en-GB"/>
        </w:rPr>
      </w:pPr>
      <w:r w:rsidRPr="005B08D8">
        <w:rPr>
          <w:sz w:val="22"/>
          <w:szCs w:val="22"/>
          <w:lang w:val="en-GB"/>
        </w:rPr>
        <w:t>It is considered that NB-</w:t>
      </w:r>
      <w:proofErr w:type="spellStart"/>
      <w:r w:rsidRPr="005B08D8">
        <w:rPr>
          <w:sz w:val="22"/>
          <w:szCs w:val="22"/>
          <w:lang w:val="en-GB"/>
        </w:rPr>
        <w:t>IoT</w:t>
      </w:r>
      <w:proofErr w:type="spellEnd"/>
      <w:r w:rsidRPr="005B08D8">
        <w:rPr>
          <w:sz w:val="22"/>
          <w:szCs w:val="22"/>
          <w:lang w:val="en-GB"/>
        </w:rPr>
        <w:t xml:space="preserve"> devices should work with a single, integrated antenna. No cross-</w:t>
      </w:r>
      <w:r w:rsidRPr="005B08D8">
        <w:rPr>
          <w:sz w:val="22"/>
          <w:szCs w:val="22"/>
          <w:lang w:val="en-GB"/>
        </w:rPr>
        <w:t xml:space="preserve">polarization or circular polarization antennas are assumed in the device. </w:t>
      </w:r>
    </w:p>
    <w:p w:rsidR="007A73B2" w:rsidRPr="005B08D8" w:rsidRDefault="007A73B2">
      <w:pPr>
        <w:tabs>
          <w:tab w:val="left" w:pos="0"/>
        </w:tabs>
        <w:ind w:left="0" w:firstLine="0"/>
        <w:rPr>
          <w:sz w:val="22"/>
          <w:szCs w:val="22"/>
          <w:lang w:val="en-GB"/>
        </w:rPr>
      </w:pPr>
    </w:p>
    <w:p w:rsidR="007A73B2" w:rsidRPr="005B08D8" w:rsidRDefault="0078303B" w:rsidP="005B08D8">
      <w:pPr>
        <w:pStyle w:val="Heading1"/>
        <w:spacing w:line="480" w:lineRule="auto"/>
        <w:ind w:left="0" w:firstLine="0"/>
        <w:rPr>
          <w:b/>
          <w:sz w:val="24"/>
          <w:szCs w:val="24"/>
          <w:lang w:val="en-GB"/>
        </w:rPr>
      </w:pPr>
      <w:bookmarkStart w:id="2" w:name="_b4jwb3g7ofb4" w:colFirst="0" w:colLast="0"/>
      <w:bookmarkEnd w:id="2"/>
      <w:r w:rsidRPr="005B08D8">
        <w:rPr>
          <w:b/>
          <w:sz w:val="24"/>
          <w:szCs w:val="24"/>
          <w:lang w:val="en-GB"/>
        </w:rPr>
        <w:lastRenderedPageBreak/>
        <w:t>3.1 - Link budget values - Single-beam case</w:t>
      </w:r>
    </w:p>
    <w:p w:rsidR="007A73B2" w:rsidRDefault="0078303B">
      <w:pPr>
        <w:tabs>
          <w:tab w:val="left" w:pos="0"/>
        </w:tabs>
        <w:ind w:left="0" w:firstLine="0"/>
        <w:rPr>
          <w:sz w:val="22"/>
          <w:szCs w:val="22"/>
          <w:lang w:val="en-GB"/>
        </w:rPr>
      </w:pPr>
      <w:r w:rsidRPr="005B08D8">
        <w:rPr>
          <w:sz w:val="22"/>
          <w:szCs w:val="22"/>
          <w:lang w:val="en-GB"/>
        </w:rPr>
        <w:t xml:space="preserve">Based on the above, Table 3 provides the ranges of SNR achievable in uplink and downlink with the satellite and </w:t>
      </w:r>
      <w:proofErr w:type="spellStart"/>
      <w:r w:rsidRPr="005B08D8">
        <w:rPr>
          <w:sz w:val="22"/>
          <w:szCs w:val="22"/>
          <w:lang w:val="en-GB"/>
        </w:rPr>
        <w:t>IoT</w:t>
      </w:r>
      <w:proofErr w:type="spellEnd"/>
      <w:r w:rsidRPr="005B08D8">
        <w:rPr>
          <w:sz w:val="22"/>
          <w:szCs w:val="22"/>
          <w:lang w:val="en-GB"/>
        </w:rPr>
        <w:t xml:space="preserve"> device parameters under the single-beam configuration case illustrated in Fig. 1. In particular, this case considers a single-beam on the sa</w:t>
      </w:r>
      <w:r w:rsidRPr="005B08D8">
        <w:rPr>
          <w:sz w:val="22"/>
          <w:szCs w:val="22"/>
          <w:lang w:val="en-GB"/>
        </w:rPr>
        <w:t>tellite pointing at Nadir. Link budget values are computed at the Nadir position (</w:t>
      </w:r>
      <w:proofErr w:type="spellStart"/>
      <w:r w:rsidRPr="005B08D8">
        <w:rPr>
          <w:sz w:val="22"/>
          <w:szCs w:val="22"/>
          <w:lang w:val="en-GB"/>
        </w:rPr>
        <w:t>i.e</w:t>
      </w:r>
      <w:proofErr w:type="spellEnd"/>
      <w:r w:rsidRPr="005B08D8">
        <w:rPr>
          <w:sz w:val="22"/>
          <w:szCs w:val="22"/>
          <w:lang w:val="en-GB"/>
        </w:rPr>
        <w:t xml:space="preserve"> L1 location with </w:t>
      </w:r>
      <w:proofErr w:type="spellStart"/>
      <w:r w:rsidRPr="005B08D8">
        <w:rPr>
          <w:sz w:val="22"/>
          <w:szCs w:val="22"/>
          <w:lang w:val="en-GB"/>
        </w:rPr>
        <w:t>IoT</w:t>
      </w:r>
      <w:proofErr w:type="spellEnd"/>
      <w:r w:rsidRPr="005B08D8">
        <w:rPr>
          <w:sz w:val="22"/>
          <w:szCs w:val="22"/>
          <w:lang w:val="en-GB"/>
        </w:rPr>
        <w:t xml:space="preserve"> device elevation angle </w:t>
      </w:r>
      <w:r w:rsidR="005B08D8" w:rsidRPr="005B08D8">
        <w:rPr>
          <w:sz w:val="22"/>
          <w:szCs w:val="22"/>
          <w:lang w:val="en-GB"/>
        </w:rPr>
        <w:t>α</w:t>
      </w:r>
      <w:r w:rsidRPr="005B08D8">
        <w:rPr>
          <w:sz w:val="22"/>
          <w:szCs w:val="22"/>
          <w:lang w:val="en-GB"/>
        </w:rPr>
        <w:t xml:space="preserve">=90º) and at the position that corresponds with the 3-dB antenna radiation pattern (i.e. L2 location with </w:t>
      </w:r>
      <w:proofErr w:type="spellStart"/>
      <w:r w:rsidRPr="005B08D8">
        <w:rPr>
          <w:sz w:val="22"/>
          <w:szCs w:val="22"/>
          <w:lang w:val="en-GB"/>
        </w:rPr>
        <w:t>IoT</w:t>
      </w:r>
      <w:proofErr w:type="spellEnd"/>
      <w:r w:rsidRPr="005B08D8">
        <w:rPr>
          <w:sz w:val="22"/>
          <w:szCs w:val="22"/>
          <w:lang w:val="en-GB"/>
        </w:rPr>
        <w:t xml:space="preserve"> device elevati</w:t>
      </w:r>
      <w:r w:rsidRPr="005B08D8">
        <w:rPr>
          <w:sz w:val="22"/>
          <w:szCs w:val="22"/>
          <w:lang w:val="en-GB"/>
        </w:rPr>
        <w:t xml:space="preserve">on angle </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 xml:space="preserve">=56.8º). Notice that in this case the elevation angle of </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=30º falls o</w:t>
      </w:r>
      <w:r w:rsidR="005B08D8">
        <w:rPr>
          <w:sz w:val="22"/>
          <w:szCs w:val="22"/>
          <w:lang w:val="en-GB"/>
        </w:rPr>
        <w:t>utside the HPBW of the antenna.</w:t>
      </w:r>
    </w:p>
    <w:p w:rsidR="005B08D8" w:rsidRPr="005B08D8" w:rsidRDefault="005B08D8">
      <w:pPr>
        <w:tabs>
          <w:tab w:val="left" w:pos="0"/>
        </w:tabs>
        <w:ind w:left="0" w:firstLine="0"/>
        <w:rPr>
          <w:sz w:val="22"/>
          <w:szCs w:val="22"/>
          <w:lang w:val="en-GB"/>
        </w:rPr>
      </w:pPr>
    </w:p>
    <w:p w:rsidR="007A73B2" w:rsidRPr="005B08D8" w:rsidRDefault="0078303B">
      <w:pPr>
        <w:tabs>
          <w:tab w:val="left" w:pos="0"/>
        </w:tabs>
        <w:spacing w:before="240" w:after="240"/>
        <w:ind w:left="0" w:firstLine="0"/>
        <w:jc w:val="center"/>
        <w:rPr>
          <w:sz w:val="22"/>
          <w:lang w:val="en-GB"/>
        </w:rPr>
      </w:pPr>
      <w:r w:rsidRPr="005B08D8">
        <w:rPr>
          <w:b/>
          <w:sz w:val="22"/>
          <w:lang w:val="en-GB"/>
        </w:rPr>
        <w:t>Table 3. Link budget for single-beam scenario as illustrated in Figure 1.</w:t>
      </w:r>
    </w:p>
    <w:tbl>
      <w:tblPr>
        <w:tblStyle w:val="a1"/>
        <w:tblW w:w="96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09"/>
        <w:gridCol w:w="1559"/>
        <w:gridCol w:w="1701"/>
        <w:gridCol w:w="1536"/>
        <w:gridCol w:w="1710"/>
      </w:tblGrid>
      <w:tr w:rsidR="007A73B2" w:rsidRPr="005B08D8" w:rsidTr="005B08D8">
        <w:trPr>
          <w:trHeight w:val="20"/>
        </w:trPr>
        <w:tc>
          <w:tcPr>
            <w:tcW w:w="3109" w:type="dxa"/>
            <w:tcBorders>
              <w:top w:val="nil"/>
              <w:left w:val="nil"/>
              <w:bottom w:val="nil"/>
              <w:right w:val="single" w:sz="4" w:space="0" w:color="auto"/>
            </w:tcBorders>
            <w:shd w:val="clear" w:color="auto" w:fill="auto"/>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Uplink</w:t>
            </w:r>
          </w:p>
        </w:tc>
        <w:tc>
          <w:tcPr>
            <w:tcW w:w="3246" w:type="dxa"/>
            <w:gridSpan w:val="2"/>
            <w:tcBorders>
              <w:left w:val="single" w:sz="4" w:space="0" w:color="auto"/>
            </w:tcBorders>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Downlink</w:t>
            </w:r>
          </w:p>
        </w:tc>
      </w:tr>
      <w:tr w:rsidR="007A73B2" w:rsidRPr="005B08D8" w:rsidTr="005B08D8">
        <w:trPr>
          <w:trHeight w:val="20"/>
        </w:trPr>
        <w:tc>
          <w:tcPr>
            <w:tcW w:w="3109"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Location L2</w:t>
            </w:r>
          </w:p>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Beam Edge</w:t>
            </w:r>
          </w:p>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=56.8º)</w:t>
            </w:r>
          </w:p>
        </w:tc>
        <w:tc>
          <w:tcPr>
            <w:tcW w:w="1701" w:type="dxa"/>
            <w:tcBorders>
              <w:left w:val="single" w:sz="4" w:space="0" w:color="auto"/>
            </w:tcBorders>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Location L1</w:t>
            </w:r>
          </w:p>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 xml:space="preserve">Beam </w:t>
            </w:r>
            <w:proofErr w:type="spellStart"/>
            <w:r w:rsidRPr="005B08D8">
              <w:rPr>
                <w:sz w:val="22"/>
                <w:szCs w:val="22"/>
                <w:lang w:val="en-GB"/>
              </w:rPr>
              <w:t>Center</w:t>
            </w:r>
            <w:proofErr w:type="spellEnd"/>
          </w:p>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=90º)</w:t>
            </w:r>
          </w:p>
        </w:tc>
        <w:tc>
          <w:tcPr>
            <w:tcW w:w="1536"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Location L2</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Beam Edge</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=56.8º)</w:t>
            </w:r>
          </w:p>
        </w:tc>
        <w:tc>
          <w:tcPr>
            <w:tcW w:w="1710"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Location L1</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Beam </w:t>
            </w:r>
            <w:proofErr w:type="spellStart"/>
            <w:r w:rsidRPr="005B08D8">
              <w:rPr>
                <w:sz w:val="22"/>
                <w:szCs w:val="22"/>
                <w:lang w:val="en-GB"/>
              </w:rPr>
              <w:t>Center</w:t>
            </w:r>
            <w:proofErr w:type="spellEnd"/>
          </w:p>
          <w:p w:rsidR="007A73B2" w:rsidRPr="005B08D8" w:rsidRDefault="0078303B">
            <w:pPr>
              <w:widowControl w:val="0"/>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=90º)</w:t>
            </w:r>
          </w:p>
        </w:tc>
      </w:tr>
      <w:tr w:rsidR="007A73B2" w:rsidRPr="005B08D8" w:rsidTr="005B08D8">
        <w:trPr>
          <w:trHeight w:val="20"/>
        </w:trPr>
        <w:tc>
          <w:tcPr>
            <w:tcW w:w="3109"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proofErr w:type="spellStart"/>
            <w:r w:rsidRPr="005B08D8">
              <w:rPr>
                <w:sz w:val="22"/>
                <w:szCs w:val="22"/>
                <w:lang w:val="en-GB"/>
              </w:rPr>
              <w:t>Tx</w:t>
            </w:r>
            <w:proofErr w:type="spellEnd"/>
            <w:r w:rsidRPr="005B08D8">
              <w:rPr>
                <w:sz w:val="22"/>
                <w:szCs w:val="22"/>
                <w:lang w:val="en-GB"/>
              </w:rPr>
              <w:t xml:space="preserve"> power (</w:t>
            </w:r>
            <w:proofErr w:type="spellStart"/>
            <w:r w:rsidRPr="005B08D8">
              <w:rPr>
                <w:sz w:val="22"/>
                <w:szCs w:val="22"/>
                <w:lang w:val="en-GB"/>
              </w:rPr>
              <w:t>dBm</w:t>
            </w:r>
            <w:proofErr w:type="spellEnd"/>
            <w:r w:rsidRPr="005B08D8">
              <w:rPr>
                <w:sz w:val="22"/>
                <w:szCs w:val="22"/>
                <w:lang w:val="en-GB"/>
              </w:rPr>
              <w:t>)</w:t>
            </w:r>
          </w:p>
        </w:tc>
        <w:tc>
          <w:tcPr>
            <w:tcW w:w="3260" w:type="dxa"/>
            <w:gridSpan w:val="2"/>
            <w:tcBorders>
              <w:left w:val="single" w:sz="4" w:space="0" w:color="auto"/>
            </w:tcBorders>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 xml:space="preserve">23 </w:t>
            </w:r>
          </w:p>
        </w:tc>
        <w:tc>
          <w:tcPr>
            <w:tcW w:w="3246" w:type="dxa"/>
            <w:gridSpan w:val="2"/>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33</w:t>
            </w:r>
          </w:p>
        </w:tc>
      </w:tr>
      <w:tr w:rsidR="007A73B2" w:rsidRPr="005B08D8" w:rsidTr="005B08D8">
        <w:trPr>
          <w:trHeight w:val="20"/>
        </w:trPr>
        <w:tc>
          <w:tcPr>
            <w:tcW w:w="3109" w:type="dxa"/>
            <w:tcBorders>
              <w:top w:val="single" w:sz="4" w:space="0" w:color="auto"/>
            </w:tcBorders>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Antenna gain TX (</w:t>
            </w:r>
            <w:proofErr w:type="spellStart"/>
            <w:r w:rsidRPr="005B08D8">
              <w:rPr>
                <w:sz w:val="22"/>
                <w:szCs w:val="22"/>
                <w:lang w:val="en-GB"/>
              </w:rPr>
              <w:t>dBi</w:t>
            </w:r>
            <w:proofErr w:type="spellEnd"/>
            <w:r w:rsidRPr="005B08D8">
              <w:rPr>
                <w:sz w:val="22"/>
                <w:szCs w:val="22"/>
                <w:lang w:val="en-GB"/>
              </w:rPr>
              <w:t>)</w:t>
            </w:r>
          </w:p>
        </w:tc>
        <w:tc>
          <w:tcPr>
            <w:tcW w:w="3260" w:type="dxa"/>
            <w:gridSpan w:val="2"/>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0</w:t>
            </w:r>
          </w:p>
        </w:tc>
        <w:tc>
          <w:tcPr>
            <w:tcW w:w="1536"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w:t>
            </w:r>
          </w:p>
        </w:tc>
        <w:tc>
          <w:tcPr>
            <w:tcW w:w="1710"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11</w:t>
            </w: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Antenna gain RX (</w:t>
            </w:r>
            <w:proofErr w:type="spellStart"/>
            <w:r w:rsidRPr="005B08D8">
              <w:rPr>
                <w:sz w:val="22"/>
                <w:szCs w:val="22"/>
                <w:lang w:val="en-GB"/>
              </w:rPr>
              <w:t>dBi</w:t>
            </w:r>
            <w:proofErr w:type="spellEnd"/>
            <w:r w:rsidRPr="005B08D8">
              <w:rPr>
                <w:sz w:val="22"/>
                <w:szCs w:val="22"/>
                <w:lang w:val="en-GB"/>
              </w:rPr>
              <w:t>)</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11</w:t>
            </w:r>
          </w:p>
        </w:tc>
        <w:tc>
          <w:tcPr>
            <w:tcW w:w="3246" w:type="dxa"/>
            <w:gridSpan w:val="2"/>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0</w:t>
            </w: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Free Space Loss</w:t>
            </w:r>
          </w:p>
        </w:tc>
        <w:tc>
          <w:tcPr>
            <w:tcW w:w="1559" w:type="dxa"/>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-155.4</w:t>
            </w:r>
          </w:p>
        </w:tc>
        <w:tc>
          <w:tcPr>
            <w:tcW w:w="1701" w:type="dxa"/>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-154</w:t>
            </w:r>
          </w:p>
        </w:tc>
        <w:tc>
          <w:tcPr>
            <w:tcW w:w="1536" w:type="dxa"/>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-155.4</w:t>
            </w:r>
          </w:p>
        </w:tc>
        <w:tc>
          <w:tcPr>
            <w:tcW w:w="1710" w:type="dxa"/>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-154</w:t>
            </w: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NF (dB)</w:t>
            </w:r>
          </w:p>
        </w:tc>
        <w:tc>
          <w:tcPr>
            <w:tcW w:w="1559" w:type="dxa"/>
            <w:shd w:val="clear" w:color="auto" w:fill="auto"/>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c>
          <w:tcPr>
            <w:tcW w:w="1701" w:type="dxa"/>
            <w:shd w:val="clear" w:color="auto" w:fill="auto"/>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c>
          <w:tcPr>
            <w:tcW w:w="3246" w:type="dxa"/>
            <w:gridSpan w:val="2"/>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7</w:t>
            </w: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G/T (dB/K)</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-20.9</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-17.9</w:t>
            </w:r>
          </w:p>
        </w:tc>
        <w:tc>
          <w:tcPr>
            <w:tcW w:w="3246" w:type="dxa"/>
            <w:gridSpan w:val="2"/>
            <w:shd w:val="clear" w:color="auto" w:fill="auto"/>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Additional losses</w:t>
            </w:r>
          </w:p>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w:t>
            </w:r>
            <w:r w:rsidRPr="005B08D8">
              <w:rPr>
                <w:lang w:val="en-GB"/>
              </w:rPr>
              <w:t>scintillation (2.2 dB), shadowing (3 dB), atmospheric absorption (0.1 dB) and polarisation (3 dB)</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8.3</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8.3</w:t>
            </w:r>
          </w:p>
        </w:tc>
        <w:tc>
          <w:tcPr>
            <w:tcW w:w="1536"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8.3</w:t>
            </w:r>
          </w:p>
        </w:tc>
        <w:tc>
          <w:tcPr>
            <w:tcW w:w="1710"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8.3</w:t>
            </w: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 xml:space="preserve">SNR (12 </w:t>
            </w:r>
            <w:proofErr w:type="spellStart"/>
            <w:r w:rsidRPr="005B08D8">
              <w:rPr>
                <w:sz w:val="22"/>
                <w:szCs w:val="22"/>
                <w:lang w:val="en-GB"/>
              </w:rPr>
              <w:t>sc</w:t>
            </w:r>
            <w:proofErr w:type="spellEnd"/>
            <w:r w:rsidRPr="005B08D8">
              <w:rPr>
                <w:sz w:val="22"/>
                <w:szCs w:val="22"/>
                <w:lang w:val="en-GB"/>
              </w:rPr>
              <w:t>) (dB)</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-15.6</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-11.2</w:t>
            </w:r>
          </w:p>
        </w:tc>
        <w:tc>
          <w:tcPr>
            <w:tcW w:w="1536"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-8.3</w:t>
            </w:r>
          </w:p>
        </w:tc>
        <w:tc>
          <w:tcPr>
            <w:tcW w:w="1710"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-3.9</w:t>
            </w: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 xml:space="preserve">SNR (6 </w:t>
            </w:r>
            <w:proofErr w:type="spellStart"/>
            <w:r w:rsidRPr="005B08D8">
              <w:rPr>
                <w:sz w:val="22"/>
                <w:szCs w:val="22"/>
                <w:lang w:val="en-GB"/>
              </w:rPr>
              <w:t>sc</w:t>
            </w:r>
            <w:proofErr w:type="spellEnd"/>
            <w:r w:rsidRPr="005B08D8">
              <w:rPr>
                <w:sz w:val="22"/>
                <w:szCs w:val="22"/>
                <w:lang w:val="en-GB"/>
              </w:rPr>
              <w:t xml:space="preserve">) (dB) </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-12.6</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-8.2</w:t>
            </w:r>
          </w:p>
        </w:tc>
        <w:tc>
          <w:tcPr>
            <w:tcW w:w="3246" w:type="dxa"/>
            <w:gridSpan w:val="2"/>
            <w:vMerge w:val="restart"/>
            <w:shd w:val="clear" w:color="auto" w:fill="666666"/>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SNR (3 </w:t>
            </w:r>
            <w:proofErr w:type="spellStart"/>
            <w:r w:rsidRPr="005B08D8">
              <w:rPr>
                <w:sz w:val="22"/>
                <w:szCs w:val="22"/>
                <w:lang w:val="en-GB"/>
              </w:rPr>
              <w:t>sc</w:t>
            </w:r>
            <w:proofErr w:type="spellEnd"/>
            <w:r w:rsidRPr="005B08D8">
              <w:rPr>
                <w:sz w:val="22"/>
                <w:szCs w:val="22"/>
                <w:lang w:val="en-GB"/>
              </w:rPr>
              <w:t>) (dB)</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-9.6</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-5.2</w:t>
            </w:r>
          </w:p>
        </w:tc>
        <w:tc>
          <w:tcPr>
            <w:tcW w:w="3246" w:type="dxa"/>
            <w:gridSpan w:val="2"/>
            <w:vMerge/>
            <w:shd w:val="clear" w:color="auto" w:fill="666666"/>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SNR (1 </w:t>
            </w:r>
            <w:proofErr w:type="spellStart"/>
            <w:r w:rsidRPr="005B08D8">
              <w:rPr>
                <w:sz w:val="22"/>
                <w:szCs w:val="22"/>
                <w:lang w:val="en-GB"/>
              </w:rPr>
              <w:t>sc</w:t>
            </w:r>
            <w:proofErr w:type="spellEnd"/>
            <w:r w:rsidRPr="005B08D8">
              <w:rPr>
                <w:sz w:val="22"/>
                <w:szCs w:val="22"/>
                <w:lang w:val="en-GB"/>
              </w:rPr>
              <w:t>) (dB)</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-4.8</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-0.4</w:t>
            </w:r>
          </w:p>
        </w:tc>
        <w:tc>
          <w:tcPr>
            <w:tcW w:w="3246" w:type="dxa"/>
            <w:gridSpan w:val="2"/>
            <w:vMerge/>
            <w:shd w:val="clear" w:color="auto" w:fill="666666"/>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r>
      <w:tr w:rsidR="007A73B2" w:rsidRPr="005B08D8" w:rsidTr="005B08D8">
        <w:trPr>
          <w:trHeight w:val="20"/>
        </w:trPr>
        <w:tc>
          <w:tcPr>
            <w:tcW w:w="3109"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SNR (1 </w:t>
            </w:r>
            <w:proofErr w:type="spellStart"/>
            <w:r w:rsidRPr="005B08D8">
              <w:rPr>
                <w:sz w:val="22"/>
                <w:szCs w:val="22"/>
                <w:lang w:val="en-GB"/>
              </w:rPr>
              <w:t>sc</w:t>
            </w:r>
            <w:proofErr w:type="spellEnd"/>
            <w:r w:rsidRPr="005B08D8">
              <w:rPr>
                <w:sz w:val="22"/>
                <w:szCs w:val="22"/>
                <w:lang w:val="en-GB"/>
              </w:rPr>
              <w:t xml:space="preserve"> 3.75 kHz) (dB)</w:t>
            </w:r>
          </w:p>
        </w:tc>
        <w:tc>
          <w:tcPr>
            <w:tcW w:w="1559"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1.2</w:t>
            </w:r>
          </w:p>
        </w:tc>
        <w:tc>
          <w:tcPr>
            <w:tcW w:w="1701" w:type="dxa"/>
            <w:shd w:val="clear" w:color="auto" w:fill="auto"/>
            <w:tcMar>
              <w:top w:w="100" w:type="dxa"/>
              <w:left w:w="100" w:type="dxa"/>
              <w:bottom w:w="100" w:type="dxa"/>
              <w:right w:w="100" w:type="dxa"/>
            </w:tcMar>
          </w:tcPr>
          <w:p w:rsidR="007A73B2" w:rsidRPr="005B08D8" w:rsidRDefault="0078303B">
            <w:pPr>
              <w:widowControl w:val="0"/>
              <w:pBdr>
                <w:top w:val="nil"/>
                <w:left w:val="nil"/>
                <w:bottom w:val="nil"/>
                <w:right w:val="nil"/>
                <w:between w:val="nil"/>
              </w:pBdr>
              <w:spacing w:before="0" w:after="0"/>
              <w:ind w:left="0" w:firstLine="0"/>
              <w:jc w:val="center"/>
              <w:rPr>
                <w:sz w:val="22"/>
                <w:szCs w:val="22"/>
                <w:lang w:val="en-GB"/>
              </w:rPr>
            </w:pPr>
            <w:r w:rsidRPr="005B08D8">
              <w:rPr>
                <w:sz w:val="22"/>
                <w:szCs w:val="22"/>
                <w:lang w:val="en-GB"/>
              </w:rPr>
              <w:t>5.6</w:t>
            </w:r>
          </w:p>
        </w:tc>
        <w:tc>
          <w:tcPr>
            <w:tcW w:w="3246" w:type="dxa"/>
            <w:gridSpan w:val="2"/>
            <w:vMerge/>
            <w:shd w:val="clear" w:color="auto" w:fill="666666"/>
            <w:tcMar>
              <w:top w:w="100" w:type="dxa"/>
              <w:left w:w="100" w:type="dxa"/>
              <w:bottom w:w="100" w:type="dxa"/>
              <w:right w:w="100" w:type="dxa"/>
            </w:tcMar>
          </w:tcPr>
          <w:p w:rsidR="007A73B2" w:rsidRPr="005B08D8" w:rsidRDefault="007A73B2">
            <w:pPr>
              <w:widowControl w:val="0"/>
              <w:pBdr>
                <w:top w:val="nil"/>
                <w:left w:val="nil"/>
                <w:bottom w:val="nil"/>
                <w:right w:val="nil"/>
                <w:between w:val="nil"/>
              </w:pBdr>
              <w:spacing w:before="0" w:after="0"/>
              <w:ind w:left="0" w:firstLine="0"/>
              <w:jc w:val="center"/>
              <w:rPr>
                <w:sz w:val="22"/>
                <w:szCs w:val="22"/>
                <w:lang w:val="en-GB"/>
              </w:rPr>
            </w:pPr>
          </w:p>
        </w:tc>
      </w:tr>
    </w:tbl>
    <w:p w:rsidR="007A73B2" w:rsidRPr="005B08D8" w:rsidRDefault="007A73B2">
      <w:pPr>
        <w:tabs>
          <w:tab w:val="left" w:pos="0"/>
        </w:tabs>
        <w:ind w:left="0" w:firstLine="0"/>
        <w:rPr>
          <w:lang w:val="en-GB"/>
        </w:rPr>
      </w:pPr>
    </w:p>
    <w:p w:rsidR="007A73B2" w:rsidRPr="005B08D8" w:rsidRDefault="0078303B">
      <w:pPr>
        <w:pBdr>
          <w:top w:val="nil"/>
          <w:left w:val="nil"/>
          <w:bottom w:val="nil"/>
          <w:right w:val="nil"/>
          <w:between w:val="nil"/>
        </w:pBdr>
        <w:spacing w:before="0" w:after="160" w:line="259" w:lineRule="auto"/>
        <w:ind w:left="0" w:right="-99" w:firstLine="0"/>
        <w:jc w:val="left"/>
        <w:rPr>
          <w:sz w:val="24"/>
          <w:szCs w:val="24"/>
          <w:lang w:val="en-GB"/>
        </w:rPr>
      </w:pPr>
      <w:r w:rsidRPr="005B08D8">
        <w:rPr>
          <w:sz w:val="24"/>
          <w:szCs w:val="24"/>
          <w:lang w:val="en-GB"/>
        </w:rPr>
        <w:lastRenderedPageBreak/>
        <w:drawing>
          <wp:inline distT="114300" distB="114300" distL="114300" distR="114300">
            <wp:extent cx="6119820" cy="27178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119820" cy="2717800"/>
                    </a:xfrm>
                    <a:prstGeom prst="rect">
                      <a:avLst/>
                    </a:prstGeom>
                    <a:ln/>
                  </pic:spPr>
                </pic:pic>
              </a:graphicData>
            </a:graphic>
          </wp:inline>
        </w:drawing>
      </w:r>
    </w:p>
    <w:p w:rsidR="007A73B2" w:rsidRPr="005B08D8" w:rsidRDefault="0078303B" w:rsidP="005B08D8">
      <w:pPr>
        <w:pBdr>
          <w:top w:val="nil"/>
          <w:left w:val="nil"/>
          <w:bottom w:val="nil"/>
          <w:right w:val="nil"/>
          <w:between w:val="nil"/>
        </w:pBdr>
        <w:spacing w:before="0" w:after="160" w:line="259" w:lineRule="auto"/>
        <w:ind w:left="0" w:right="-99" w:firstLine="0"/>
        <w:jc w:val="center"/>
        <w:rPr>
          <w:b/>
          <w:sz w:val="24"/>
          <w:szCs w:val="24"/>
          <w:lang w:val="en-GB"/>
        </w:rPr>
      </w:pPr>
      <w:r w:rsidRPr="005B08D8">
        <w:rPr>
          <w:b/>
          <w:sz w:val="24"/>
          <w:szCs w:val="24"/>
          <w:lang w:val="en-GB"/>
        </w:rPr>
        <w:t>Fig. 1. - Geometry for the single-beam configuration case. Link budget values are provided at the locations L1 and L2.</w:t>
      </w:r>
    </w:p>
    <w:p w:rsidR="005B08D8" w:rsidRPr="005B08D8" w:rsidRDefault="005B08D8">
      <w:pPr>
        <w:pBdr>
          <w:top w:val="nil"/>
          <w:left w:val="nil"/>
          <w:bottom w:val="nil"/>
          <w:right w:val="nil"/>
          <w:between w:val="nil"/>
        </w:pBdr>
        <w:spacing w:before="0" w:after="160" w:line="259" w:lineRule="auto"/>
        <w:ind w:left="0" w:right="-99" w:firstLine="0"/>
        <w:jc w:val="left"/>
        <w:rPr>
          <w:sz w:val="24"/>
          <w:szCs w:val="24"/>
          <w:lang w:val="en-GB"/>
        </w:rPr>
      </w:pPr>
    </w:p>
    <w:p w:rsidR="007A73B2" w:rsidRPr="005B08D8" w:rsidRDefault="0078303B" w:rsidP="005B08D8">
      <w:pPr>
        <w:pStyle w:val="Heading1"/>
        <w:spacing w:line="480" w:lineRule="auto"/>
        <w:ind w:left="0" w:firstLine="0"/>
        <w:rPr>
          <w:b/>
          <w:sz w:val="24"/>
          <w:szCs w:val="24"/>
          <w:lang w:val="en-GB"/>
        </w:rPr>
      </w:pPr>
      <w:bookmarkStart w:id="3" w:name="_wriaj9wsagrt" w:colFirst="0" w:colLast="0"/>
      <w:bookmarkEnd w:id="3"/>
      <w:r w:rsidRPr="005B08D8">
        <w:rPr>
          <w:b/>
          <w:sz w:val="24"/>
          <w:szCs w:val="24"/>
          <w:lang w:val="en-GB"/>
        </w:rPr>
        <w:t>3.2 - Link budget values - Multi-beam case</w:t>
      </w:r>
    </w:p>
    <w:p w:rsidR="007A73B2" w:rsidRPr="005B08D8" w:rsidRDefault="0078303B">
      <w:pPr>
        <w:tabs>
          <w:tab w:val="left" w:pos="0"/>
        </w:tabs>
        <w:ind w:left="0" w:firstLine="0"/>
        <w:rPr>
          <w:sz w:val="22"/>
          <w:szCs w:val="22"/>
          <w:lang w:val="en-GB"/>
        </w:rPr>
      </w:pPr>
      <w:r w:rsidRPr="005B08D8">
        <w:rPr>
          <w:sz w:val="22"/>
          <w:szCs w:val="22"/>
          <w:lang w:val="en-GB"/>
        </w:rPr>
        <w:t xml:space="preserve">Table 4 provides the ranges of SNR achievable in uplink and downlink with the satellite and </w:t>
      </w:r>
      <w:proofErr w:type="spellStart"/>
      <w:r w:rsidRPr="005B08D8">
        <w:rPr>
          <w:sz w:val="22"/>
          <w:szCs w:val="22"/>
          <w:lang w:val="en-GB"/>
        </w:rPr>
        <w:t>IoT</w:t>
      </w:r>
      <w:proofErr w:type="spellEnd"/>
      <w:r w:rsidRPr="005B08D8">
        <w:rPr>
          <w:sz w:val="22"/>
          <w:szCs w:val="22"/>
          <w:lang w:val="en-GB"/>
        </w:rPr>
        <w:t xml:space="preserve"> device parameters under the multi-beam configuration case illustrated in Fig. 2. In particular, this case considers a satellite able to handle a few beams, with</w:t>
      </w:r>
      <w:r w:rsidRPr="005B08D8">
        <w:rPr>
          <w:sz w:val="22"/>
          <w:szCs w:val="22"/>
          <w:lang w:val="en-GB"/>
        </w:rPr>
        <w:t xml:space="preserve"> some of them pointed so that </w:t>
      </w:r>
      <w:proofErr w:type="spellStart"/>
      <w:r w:rsidRPr="005B08D8">
        <w:rPr>
          <w:sz w:val="22"/>
          <w:szCs w:val="22"/>
          <w:lang w:val="en-GB"/>
        </w:rPr>
        <w:t>IoT</w:t>
      </w:r>
      <w:proofErr w:type="spellEnd"/>
      <w:r w:rsidRPr="005B08D8">
        <w:rPr>
          <w:sz w:val="22"/>
          <w:szCs w:val="22"/>
          <w:lang w:val="en-GB"/>
        </w:rPr>
        <w:t xml:space="preserve"> devices with elevation angles of </w:t>
      </w:r>
      <w:r w:rsidR="005B08D8" w:rsidRPr="005B08D8">
        <w:rPr>
          <w:sz w:val="22"/>
          <w:szCs w:val="22"/>
          <w:lang w:val="en-GB"/>
        </w:rPr>
        <w:t>α=</w:t>
      </w:r>
      <w:r w:rsidRPr="005B08D8">
        <w:rPr>
          <w:sz w:val="22"/>
          <w:szCs w:val="22"/>
          <w:lang w:val="en-GB"/>
        </w:rPr>
        <w:t xml:space="preserve">30º are within the HPBW of the antennas. Link budget values are computed at the beam </w:t>
      </w:r>
      <w:proofErr w:type="spellStart"/>
      <w:r w:rsidRPr="005B08D8">
        <w:rPr>
          <w:sz w:val="22"/>
          <w:szCs w:val="22"/>
          <w:lang w:val="en-GB"/>
        </w:rPr>
        <w:t>center</w:t>
      </w:r>
      <w:proofErr w:type="spellEnd"/>
      <w:r w:rsidRPr="005B08D8">
        <w:rPr>
          <w:sz w:val="22"/>
          <w:szCs w:val="22"/>
          <w:lang w:val="en-GB"/>
        </w:rPr>
        <w:t xml:space="preserve"> position (</w:t>
      </w:r>
      <w:proofErr w:type="spellStart"/>
      <w:r w:rsidRPr="005B08D8">
        <w:rPr>
          <w:sz w:val="22"/>
          <w:szCs w:val="22"/>
          <w:lang w:val="en-GB"/>
        </w:rPr>
        <w:t>i.e</w:t>
      </w:r>
      <w:proofErr w:type="spellEnd"/>
      <w:r w:rsidRPr="005B08D8">
        <w:rPr>
          <w:sz w:val="22"/>
          <w:szCs w:val="22"/>
          <w:lang w:val="en-GB"/>
        </w:rPr>
        <w:t xml:space="preserve"> L1 location with </w:t>
      </w:r>
      <w:proofErr w:type="spellStart"/>
      <w:r w:rsidRPr="005B08D8">
        <w:rPr>
          <w:sz w:val="22"/>
          <w:szCs w:val="22"/>
          <w:lang w:val="en-GB"/>
        </w:rPr>
        <w:t>IoT</w:t>
      </w:r>
      <w:proofErr w:type="spellEnd"/>
      <w:r w:rsidRPr="005B08D8">
        <w:rPr>
          <w:sz w:val="22"/>
          <w:szCs w:val="22"/>
          <w:lang w:val="en-GB"/>
        </w:rPr>
        <w:t xml:space="preserve"> device elevation angle </w:t>
      </w:r>
      <w:r w:rsidR="005B08D8" w:rsidRPr="005B08D8">
        <w:rPr>
          <w:sz w:val="22"/>
          <w:szCs w:val="22"/>
          <w:lang w:val="en-GB"/>
        </w:rPr>
        <w:t>α</w:t>
      </w:r>
      <w:r w:rsidRPr="005B08D8">
        <w:rPr>
          <w:sz w:val="22"/>
          <w:szCs w:val="22"/>
          <w:lang w:val="en-GB"/>
        </w:rPr>
        <w:t xml:space="preserve">=65.5º) and at beam edge (i.e. L2 </w:t>
      </w:r>
      <w:r w:rsidRPr="005B08D8">
        <w:rPr>
          <w:sz w:val="22"/>
          <w:szCs w:val="22"/>
          <w:lang w:val="en-GB"/>
        </w:rPr>
        <w:t xml:space="preserve">location with </w:t>
      </w:r>
      <w:proofErr w:type="spellStart"/>
      <w:r w:rsidRPr="005B08D8">
        <w:rPr>
          <w:sz w:val="22"/>
          <w:szCs w:val="22"/>
          <w:lang w:val="en-GB"/>
        </w:rPr>
        <w:t>IoT</w:t>
      </w:r>
      <w:proofErr w:type="spellEnd"/>
      <w:r w:rsidRPr="005B08D8">
        <w:rPr>
          <w:sz w:val="22"/>
          <w:szCs w:val="22"/>
          <w:lang w:val="en-GB"/>
        </w:rPr>
        <w:t xml:space="preserve"> device elevation angle </w:t>
      </w:r>
      <w:r w:rsidR="005B08D8" w:rsidRPr="005B08D8">
        <w:rPr>
          <w:sz w:val="22"/>
          <w:szCs w:val="22"/>
          <w:lang w:val="en-GB"/>
        </w:rPr>
        <w:t>α =</w:t>
      </w:r>
      <w:r w:rsidR="005B08D8" w:rsidRPr="005B08D8">
        <w:rPr>
          <w:sz w:val="22"/>
          <w:szCs w:val="22"/>
          <w:lang w:val="en-GB"/>
        </w:rPr>
        <w:t>30º).</w:t>
      </w:r>
    </w:p>
    <w:p w:rsidR="007A73B2" w:rsidRPr="005B08D8" w:rsidRDefault="005B08D8">
      <w:pPr>
        <w:tabs>
          <w:tab w:val="left" w:pos="0"/>
        </w:tabs>
        <w:spacing w:before="240" w:after="240"/>
        <w:ind w:left="0" w:firstLine="0"/>
        <w:jc w:val="center"/>
        <w:rPr>
          <w:sz w:val="22"/>
          <w:lang w:val="en-GB"/>
        </w:rPr>
      </w:pPr>
      <w:r w:rsidRPr="005B08D8">
        <w:rPr>
          <w:b/>
          <w:sz w:val="22"/>
          <w:lang w:val="en-GB"/>
        </w:rPr>
        <w:t>Table 4</w:t>
      </w:r>
      <w:r w:rsidR="0078303B" w:rsidRPr="005B08D8">
        <w:rPr>
          <w:b/>
          <w:sz w:val="22"/>
          <w:lang w:val="en-GB"/>
        </w:rPr>
        <w:t>. Link budget for multi-beam scenario as illustrated in Figure 2.</w:t>
      </w:r>
    </w:p>
    <w:tbl>
      <w:tblPr>
        <w:tblStyle w:val="a2"/>
        <w:tblW w:w="96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45"/>
        <w:gridCol w:w="1605"/>
        <w:gridCol w:w="1680"/>
        <w:gridCol w:w="1875"/>
        <w:gridCol w:w="1710"/>
      </w:tblGrid>
      <w:tr w:rsidR="007A73B2" w:rsidRPr="005B08D8" w:rsidTr="005B08D8">
        <w:trPr>
          <w:trHeight w:val="20"/>
        </w:trPr>
        <w:tc>
          <w:tcPr>
            <w:tcW w:w="2745" w:type="dxa"/>
            <w:tcBorders>
              <w:top w:val="nil"/>
              <w:left w:val="nil"/>
              <w:bottom w:val="nil"/>
              <w:right w:val="single" w:sz="4" w:space="0" w:color="auto"/>
            </w:tcBorders>
            <w:shd w:val="clear" w:color="auto" w:fill="auto"/>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c>
          <w:tcPr>
            <w:tcW w:w="3285" w:type="dxa"/>
            <w:gridSpan w:val="2"/>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Uplink</w:t>
            </w:r>
          </w:p>
        </w:tc>
        <w:tc>
          <w:tcPr>
            <w:tcW w:w="3585" w:type="dxa"/>
            <w:gridSpan w:val="2"/>
            <w:tcBorders>
              <w:left w:val="single" w:sz="4" w:space="0" w:color="auto"/>
            </w:tcBorders>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Downlink</w:t>
            </w:r>
          </w:p>
        </w:tc>
      </w:tr>
      <w:tr w:rsidR="007A73B2" w:rsidRPr="005B08D8" w:rsidTr="005B08D8">
        <w:trPr>
          <w:trHeight w:val="20"/>
        </w:trPr>
        <w:tc>
          <w:tcPr>
            <w:tcW w:w="2745"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c>
          <w:tcPr>
            <w:tcW w:w="1605"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(Location L2) Beam Edge</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=30º)</w:t>
            </w:r>
          </w:p>
        </w:tc>
        <w:tc>
          <w:tcPr>
            <w:tcW w:w="1680" w:type="dxa"/>
            <w:tcBorders>
              <w:left w:val="single" w:sz="4" w:space="0" w:color="auto"/>
            </w:tcBorders>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(Location L1)</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Beam </w:t>
            </w:r>
            <w:proofErr w:type="spellStart"/>
            <w:r w:rsidRPr="005B08D8">
              <w:rPr>
                <w:sz w:val="22"/>
                <w:szCs w:val="22"/>
                <w:lang w:val="en-GB"/>
              </w:rPr>
              <w:t>Center</w:t>
            </w:r>
            <w:proofErr w:type="spellEnd"/>
          </w:p>
          <w:p w:rsidR="007A73B2" w:rsidRPr="005B08D8" w:rsidRDefault="0078303B">
            <w:pPr>
              <w:widowControl w:val="0"/>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=65.5º)</w:t>
            </w:r>
          </w:p>
        </w:tc>
        <w:tc>
          <w:tcPr>
            <w:tcW w:w="187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(Location L2)</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Beam Edge</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=30º)</w:t>
            </w:r>
          </w:p>
        </w:tc>
        <w:tc>
          <w:tcPr>
            <w:tcW w:w="1710"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(Location L1)</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Beam </w:t>
            </w:r>
            <w:proofErr w:type="spellStart"/>
            <w:r w:rsidRPr="005B08D8">
              <w:rPr>
                <w:sz w:val="22"/>
                <w:szCs w:val="22"/>
                <w:lang w:val="en-GB"/>
              </w:rPr>
              <w:t>Center</w:t>
            </w:r>
            <w:proofErr w:type="spellEnd"/>
          </w:p>
          <w:p w:rsidR="007A73B2" w:rsidRPr="005B08D8" w:rsidRDefault="0078303B">
            <w:pPr>
              <w:widowControl w:val="0"/>
              <w:spacing w:before="0" w:after="0"/>
              <w:ind w:left="0" w:firstLine="0"/>
              <w:jc w:val="center"/>
              <w:rPr>
                <w:sz w:val="22"/>
                <w:szCs w:val="22"/>
                <w:lang w:val="en-GB"/>
              </w:rPr>
            </w:pPr>
            <w:r w:rsidRPr="005B08D8">
              <w:rPr>
                <w:sz w:val="22"/>
                <w:szCs w:val="22"/>
                <w:lang w:val="en-GB"/>
              </w:rPr>
              <w:t>(</w:t>
            </w:r>
            <w:r w:rsidR="005B08D8" w:rsidRPr="005B08D8">
              <w:rPr>
                <w:sz w:val="22"/>
                <w:szCs w:val="22"/>
                <w:lang w:val="en-GB"/>
              </w:rPr>
              <w:t>α</w:t>
            </w:r>
            <w:r w:rsidR="005B08D8" w:rsidRPr="005B08D8">
              <w:rPr>
                <w:sz w:val="22"/>
                <w:szCs w:val="22"/>
                <w:lang w:val="en-GB"/>
              </w:rPr>
              <w:t xml:space="preserve"> </w:t>
            </w:r>
            <w:r w:rsidRPr="005B08D8">
              <w:rPr>
                <w:sz w:val="22"/>
                <w:szCs w:val="22"/>
                <w:lang w:val="en-GB"/>
              </w:rPr>
              <w:t>=65.5º)</w:t>
            </w:r>
          </w:p>
        </w:tc>
      </w:tr>
      <w:tr w:rsidR="007A73B2" w:rsidRPr="005B08D8" w:rsidTr="005B08D8">
        <w:trPr>
          <w:trHeight w:val="20"/>
        </w:trPr>
        <w:tc>
          <w:tcPr>
            <w:tcW w:w="2745"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proofErr w:type="spellStart"/>
            <w:r w:rsidRPr="005B08D8">
              <w:rPr>
                <w:sz w:val="22"/>
                <w:szCs w:val="22"/>
                <w:lang w:val="en-GB"/>
              </w:rPr>
              <w:t>Tx</w:t>
            </w:r>
            <w:proofErr w:type="spellEnd"/>
            <w:r w:rsidRPr="005B08D8">
              <w:rPr>
                <w:sz w:val="22"/>
                <w:szCs w:val="22"/>
                <w:lang w:val="en-GB"/>
              </w:rPr>
              <w:t xml:space="preserve"> power (</w:t>
            </w:r>
            <w:proofErr w:type="spellStart"/>
            <w:r w:rsidRPr="005B08D8">
              <w:rPr>
                <w:sz w:val="22"/>
                <w:szCs w:val="22"/>
                <w:lang w:val="en-GB"/>
              </w:rPr>
              <w:t>dBm</w:t>
            </w:r>
            <w:proofErr w:type="spellEnd"/>
            <w:r w:rsidRPr="005B08D8">
              <w:rPr>
                <w:sz w:val="22"/>
                <w:szCs w:val="22"/>
                <w:lang w:val="en-GB"/>
              </w:rPr>
              <w:t>)</w:t>
            </w:r>
          </w:p>
        </w:tc>
        <w:tc>
          <w:tcPr>
            <w:tcW w:w="3285" w:type="dxa"/>
            <w:gridSpan w:val="2"/>
            <w:tcBorders>
              <w:left w:val="single" w:sz="4" w:space="0" w:color="auto"/>
            </w:tcBorders>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23 </w:t>
            </w:r>
          </w:p>
        </w:tc>
        <w:tc>
          <w:tcPr>
            <w:tcW w:w="3585" w:type="dxa"/>
            <w:gridSpan w:val="2"/>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33</w:t>
            </w:r>
          </w:p>
        </w:tc>
      </w:tr>
      <w:tr w:rsidR="007A73B2" w:rsidRPr="005B08D8" w:rsidTr="005B08D8">
        <w:trPr>
          <w:trHeight w:val="20"/>
        </w:trPr>
        <w:tc>
          <w:tcPr>
            <w:tcW w:w="2745" w:type="dxa"/>
            <w:tcBorders>
              <w:top w:val="single" w:sz="4" w:space="0" w:color="auto"/>
            </w:tcBorders>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Antenna gain TX (</w:t>
            </w:r>
            <w:proofErr w:type="spellStart"/>
            <w:r w:rsidRPr="005B08D8">
              <w:rPr>
                <w:sz w:val="22"/>
                <w:szCs w:val="22"/>
                <w:lang w:val="en-GB"/>
              </w:rPr>
              <w:t>dBi</w:t>
            </w:r>
            <w:proofErr w:type="spellEnd"/>
            <w:r w:rsidRPr="005B08D8">
              <w:rPr>
                <w:sz w:val="22"/>
                <w:szCs w:val="22"/>
                <w:lang w:val="en-GB"/>
              </w:rPr>
              <w:t>)</w:t>
            </w:r>
          </w:p>
        </w:tc>
        <w:tc>
          <w:tcPr>
            <w:tcW w:w="3285" w:type="dxa"/>
            <w:gridSpan w:val="2"/>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0</w:t>
            </w:r>
          </w:p>
        </w:tc>
        <w:tc>
          <w:tcPr>
            <w:tcW w:w="187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8</w:t>
            </w:r>
          </w:p>
        </w:tc>
        <w:tc>
          <w:tcPr>
            <w:tcW w:w="171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11</w:t>
            </w: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Antenna gain RX (</w:t>
            </w:r>
            <w:proofErr w:type="spellStart"/>
            <w:r w:rsidRPr="005B08D8">
              <w:rPr>
                <w:sz w:val="22"/>
                <w:szCs w:val="22"/>
                <w:lang w:val="en-GB"/>
              </w:rPr>
              <w:t>dBi</w:t>
            </w:r>
            <w:proofErr w:type="spellEnd"/>
            <w:r w:rsidRPr="005B08D8">
              <w:rPr>
                <w:sz w:val="22"/>
                <w:szCs w:val="22"/>
                <w:lang w:val="en-GB"/>
              </w:rPr>
              <w:t>)</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8</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11</w:t>
            </w:r>
          </w:p>
        </w:tc>
        <w:tc>
          <w:tcPr>
            <w:tcW w:w="3585" w:type="dxa"/>
            <w:gridSpan w:val="2"/>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0</w:t>
            </w: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Free Space Loss</w:t>
            </w:r>
          </w:p>
        </w:tc>
        <w:tc>
          <w:tcPr>
            <w:tcW w:w="1605" w:type="dxa"/>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-159.1</w:t>
            </w:r>
          </w:p>
        </w:tc>
        <w:tc>
          <w:tcPr>
            <w:tcW w:w="1680" w:type="dxa"/>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-154.8</w:t>
            </w:r>
          </w:p>
        </w:tc>
        <w:tc>
          <w:tcPr>
            <w:tcW w:w="1875" w:type="dxa"/>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-159.1</w:t>
            </w:r>
          </w:p>
        </w:tc>
        <w:tc>
          <w:tcPr>
            <w:tcW w:w="1710" w:type="dxa"/>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-154.8</w:t>
            </w: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NF (dB)</w:t>
            </w:r>
          </w:p>
        </w:tc>
        <w:tc>
          <w:tcPr>
            <w:tcW w:w="3285" w:type="dxa"/>
            <w:gridSpan w:val="2"/>
            <w:shd w:val="clear" w:color="auto" w:fill="auto"/>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c>
          <w:tcPr>
            <w:tcW w:w="3585" w:type="dxa"/>
            <w:gridSpan w:val="2"/>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7</w:t>
            </w: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G/T (dB/K)</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-20.9</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-17.9</w:t>
            </w:r>
          </w:p>
        </w:tc>
        <w:tc>
          <w:tcPr>
            <w:tcW w:w="3585" w:type="dxa"/>
            <w:gridSpan w:val="2"/>
            <w:shd w:val="clear" w:color="auto" w:fill="auto"/>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Additional losses</w:t>
            </w:r>
          </w:p>
          <w:p w:rsidR="007A73B2" w:rsidRPr="005B08D8" w:rsidRDefault="0078303B">
            <w:pPr>
              <w:widowControl w:val="0"/>
              <w:spacing w:before="0" w:after="0"/>
              <w:ind w:left="0" w:firstLine="0"/>
              <w:jc w:val="center"/>
              <w:rPr>
                <w:sz w:val="22"/>
                <w:szCs w:val="22"/>
                <w:lang w:val="en-GB"/>
              </w:rPr>
            </w:pPr>
            <w:r w:rsidRPr="005B08D8">
              <w:rPr>
                <w:sz w:val="22"/>
                <w:szCs w:val="22"/>
                <w:lang w:val="en-GB"/>
              </w:rPr>
              <w:t>(</w:t>
            </w:r>
            <w:r w:rsidRPr="005B08D8">
              <w:rPr>
                <w:lang w:val="en-GB"/>
              </w:rPr>
              <w:t xml:space="preserve">scintillation (2.2 dB), shadowing (3 dB), atmospheric </w:t>
            </w:r>
            <w:r w:rsidRPr="005B08D8">
              <w:rPr>
                <w:lang w:val="en-GB"/>
              </w:rPr>
              <w:lastRenderedPageBreak/>
              <w:t>absorption (0.1 dB) and polarisation (3 dB)</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lastRenderedPageBreak/>
              <w:t>8.3</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8.3</w:t>
            </w:r>
          </w:p>
        </w:tc>
        <w:tc>
          <w:tcPr>
            <w:tcW w:w="187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8.3</w:t>
            </w:r>
          </w:p>
        </w:tc>
        <w:tc>
          <w:tcPr>
            <w:tcW w:w="171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8.3</w:t>
            </w: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lastRenderedPageBreak/>
              <w:t xml:space="preserve">SNR (12 </w:t>
            </w:r>
            <w:proofErr w:type="spellStart"/>
            <w:r w:rsidRPr="005B08D8">
              <w:rPr>
                <w:sz w:val="22"/>
                <w:szCs w:val="22"/>
                <w:lang w:val="en-GB"/>
              </w:rPr>
              <w:t>sc</w:t>
            </w:r>
            <w:proofErr w:type="spellEnd"/>
            <w:r w:rsidRPr="005B08D8">
              <w:rPr>
                <w:sz w:val="22"/>
                <w:szCs w:val="22"/>
                <w:lang w:val="en-GB"/>
              </w:rPr>
              <w:t>) (dB)</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-19.3</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-12</w:t>
            </w:r>
          </w:p>
        </w:tc>
        <w:tc>
          <w:tcPr>
            <w:tcW w:w="187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-12</w:t>
            </w:r>
          </w:p>
        </w:tc>
        <w:tc>
          <w:tcPr>
            <w:tcW w:w="171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-4.7</w:t>
            </w: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SNR (6 </w:t>
            </w:r>
            <w:proofErr w:type="spellStart"/>
            <w:r w:rsidRPr="005B08D8">
              <w:rPr>
                <w:sz w:val="22"/>
                <w:szCs w:val="22"/>
                <w:lang w:val="en-GB"/>
              </w:rPr>
              <w:t>sc</w:t>
            </w:r>
            <w:proofErr w:type="spellEnd"/>
            <w:r w:rsidRPr="005B08D8">
              <w:rPr>
                <w:sz w:val="22"/>
                <w:szCs w:val="22"/>
                <w:lang w:val="en-GB"/>
              </w:rPr>
              <w:t xml:space="preserve">) (dB) </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-16.3</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-9.0</w:t>
            </w:r>
          </w:p>
        </w:tc>
        <w:tc>
          <w:tcPr>
            <w:tcW w:w="3585" w:type="dxa"/>
            <w:gridSpan w:val="2"/>
            <w:vMerge w:val="restart"/>
            <w:shd w:val="clear" w:color="auto" w:fill="666666"/>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SNR (3 </w:t>
            </w:r>
            <w:proofErr w:type="spellStart"/>
            <w:r w:rsidRPr="005B08D8">
              <w:rPr>
                <w:sz w:val="22"/>
                <w:szCs w:val="22"/>
                <w:lang w:val="en-GB"/>
              </w:rPr>
              <w:t>sc</w:t>
            </w:r>
            <w:proofErr w:type="spellEnd"/>
            <w:r w:rsidRPr="005B08D8">
              <w:rPr>
                <w:sz w:val="22"/>
                <w:szCs w:val="22"/>
                <w:lang w:val="en-GB"/>
              </w:rPr>
              <w:t>) (dB)</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-13.3</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-6.0</w:t>
            </w:r>
          </w:p>
        </w:tc>
        <w:tc>
          <w:tcPr>
            <w:tcW w:w="3585" w:type="dxa"/>
            <w:gridSpan w:val="2"/>
            <w:vMerge/>
            <w:shd w:val="clear" w:color="auto" w:fill="666666"/>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SNR (1 </w:t>
            </w:r>
            <w:proofErr w:type="spellStart"/>
            <w:r w:rsidRPr="005B08D8">
              <w:rPr>
                <w:sz w:val="22"/>
                <w:szCs w:val="22"/>
                <w:lang w:val="en-GB"/>
              </w:rPr>
              <w:t>sc</w:t>
            </w:r>
            <w:proofErr w:type="spellEnd"/>
            <w:r w:rsidRPr="005B08D8">
              <w:rPr>
                <w:sz w:val="22"/>
                <w:szCs w:val="22"/>
                <w:lang w:val="en-GB"/>
              </w:rPr>
              <w:t>) (dB)</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-8.5</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-1.2</w:t>
            </w:r>
          </w:p>
        </w:tc>
        <w:tc>
          <w:tcPr>
            <w:tcW w:w="3585" w:type="dxa"/>
            <w:gridSpan w:val="2"/>
            <w:vMerge/>
            <w:shd w:val="clear" w:color="auto" w:fill="666666"/>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r>
      <w:tr w:rsidR="007A73B2" w:rsidRPr="005B08D8" w:rsidTr="005B08D8">
        <w:trPr>
          <w:trHeight w:val="20"/>
        </w:trPr>
        <w:tc>
          <w:tcPr>
            <w:tcW w:w="2745" w:type="dxa"/>
            <w:shd w:val="clear" w:color="auto" w:fill="CCCCCC"/>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 xml:space="preserve">SNR (1 </w:t>
            </w:r>
            <w:proofErr w:type="spellStart"/>
            <w:r w:rsidRPr="005B08D8">
              <w:rPr>
                <w:sz w:val="22"/>
                <w:szCs w:val="22"/>
                <w:lang w:val="en-GB"/>
              </w:rPr>
              <w:t>sc</w:t>
            </w:r>
            <w:proofErr w:type="spellEnd"/>
            <w:r w:rsidRPr="005B08D8">
              <w:rPr>
                <w:sz w:val="22"/>
                <w:szCs w:val="22"/>
                <w:lang w:val="en-GB"/>
              </w:rPr>
              <w:t xml:space="preserve"> 3.75 kHz) (dB)</w:t>
            </w:r>
          </w:p>
        </w:tc>
        <w:tc>
          <w:tcPr>
            <w:tcW w:w="1605"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-2.5</w:t>
            </w:r>
          </w:p>
        </w:tc>
        <w:tc>
          <w:tcPr>
            <w:tcW w:w="1680" w:type="dxa"/>
            <w:shd w:val="clear" w:color="auto" w:fill="auto"/>
            <w:tcMar>
              <w:top w:w="100" w:type="dxa"/>
              <w:left w:w="100" w:type="dxa"/>
              <w:bottom w:w="100" w:type="dxa"/>
              <w:right w:w="100" w:type="dxa"/>
            </w:tcMar>
          </w:tcPr>
          <w:p w:rsidR="007A73B2" w:rsidRPr="005B08D8" w:rsidRDefault="0078303B">
            <w:pPr>
              <w:widowControl w:val="0"/>
              <w:spacing w:before="0" w:after="0"/>
              <w:ind w:left="0" w:firstLine="0"/>
              <w:jc w:val="center"/>
              <w:rPr>
                <w:sz w:val="22"/>
                <w:szCs w:val="22"/>
                <w:lang w:val="en-GB"/>
              </w:rPr>
            </w:pPr>
            <w:r w:rsidRPr="005B08D8">
              <w:rPr>
                <w:sz w:val="22"/>
                <w:szCs w:val="22"/>
                <w:lang w:val="en-GB"/>
              </w:rPr>
              <w:t>4.8</w:t>
            </w:r>
          </w:p>
        </w:tc>
        <w:tc>
          <w:tcPr>
            <w:tcW w:w="3585" w:type="dxa"/>
            <w:gridSpan w:val="2"/>
            <w:vMerge/>
            <w:shd w:val="clear" w:color="auto" w:fill="666666"/>
            <w:tcMar>
              <w:top w:w="100" w:type="dxa"/>
              <w:left w:w="100" w:type="dxa"/>
              <w:bottom w:w="100" w:type="dxa"/>
              <w:right w:w="100" w:type="dxa"/>
            </w:tcMar>
          </w:tcPr>
          <w:p w:rsidR="007A73B2" w:rsidRPr="005B08D8" w:rsidRDefault="007A73B2">
            <w:pPr>
              <w:widowControl w:val="0"/>
              <w:spacing w:before="0" w:after="0"/>
              <w:ind w:left="0" w:firstLine="0"/>
              <w:jc w:val="center"/>
              <w:rPr>
                <w:sz w:val="22"/>
                <w:szCs w:val="22"/>
                <w:lang w:val="en-GB"/>
              </w:rPr>
            </w:pPr>
          </w:p>
        </w:tc>
      </w:tr>
    </w:tbl>
    <w:p w:rsidR="007A73B2" w:rsidRPr="005B08D8" w:rsidRDefault="007A73B2">
      <w:pPr>
        <w:tabs>
          <w:tab w:val="left" w:pos="0"/>
        </w:tabs>
        <w:ind w:left="0" w:firstLine="0"/>
        <w:rPr>
          <w:lang w:val="en-GB"/>
        </w:rPr>
      </w:pPr>
    </w:p>
    <w:p w:rsidR="007A73B2" w:rsidRPr="005B08D8" w:rsidRDefault="0078303B">
      <w:pPr>
        <w:spacing w:before="0" w:after="160" w:line="259" w:lineRule="auto"/>
        <w:ind w:left="0" w:right="-99" w:firstLine="0"/>
        <w:jc w:val="left"/>
        <w:rPr>
          <w:sz w:val="24"/>
          <w:szCs w:val="24"/>
          <w:lang w:val="en-GB"/>
        </w:rPr>
      </w:pPr>
      <w:r w:rsidRPr="005B08D8">
        <w:rPr>
          <w:sz w:val="24"/>
          <w:szCs w:val="24"/>
          <w:lang w:val="en-GB"/>
        </w:rPr>
        <w:drawing>
          <wp:inline distT="114300" distB="114300" distL="114300" distR="114300">
            <wp:extent cx="6119820" cy="28321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119820" cy="2832100"/>
                    </a:xfrm>
                    <a:prstGeom prst="rect">
                      <a:avLst/>
                    </a:prstGeom>
                    <a:ln/>
                  </pic:spPr>
                </pic:pic>
              </a:graphicData>
            </a:graphic>
          </wp:inline>
        </w:drawing>
      </w:r>
    </w:p>
    <w:p w:rsidR="007A73B2" w:rsidRPr="005B08D8" w:rsidRDefault="0078303B" w:rsidP="005B08D8">
      <w:pPr>
        <w:spacing w:before="0" w:after="160" w:line="259" w:lineRule="auto"/>
        <w:ind w:left="0" w:right="-99" w:firstLine="0"/>
        <w:jc w:val="center"/>
        <w:rPr>
          <w:b/>
          <w:sz w:val="24"/>
          <w:szCs w:val="24"/>
          <w:lang w:val="en-GB"/>
        </w:rPr>
      </w:pPr>
      <w:r w:rsidRPr="005B08D8">
        <w:rPr>
          <w:b/>
          <w:sz w:val="24"/>
          <w:szCs w:val="24"/>
          <w:lang w:val="en-GB"/>
        </w:rPr>
        <w:t>Fig. 2. - Geometry for the multi-beam configuration case. Link budget values are provided at the locations L1 and L2.</w:t>
      </w:r>
    </w:p>
    <w:p w:rsidR="007A73B2" w:rsidRPr="005B08D8" w:rsidRDefault="007A73B2">
      <w:pPr>
        <w:pBdr>
          <w:top w:val="nil"/>
          <w:left w:val="nil"/>
          <w:bottom w:val="nil"/>
          <w:right w:val="nil"/>
          <w:between w:val="nil"/>
        </w:pBdr>
        <w:spacing w:before="0" w:after="160" w:line="259" w:lineRule="auto"/>
        <w:ind w:left="0" w:right="-99" w:firstLine="0"/>
        <w:jc w:val="left"/>
        <w:rPr>
          <w:sz w:val="24"/>
          <w:szCs w:val="24"/>
          <w:highlight w:val="yellow"/>
          <w:lang w:val="en-GB"/>
        </w:rPr>
      </w:pPr>
    </w:p>
    <w:p w:rsidR="007A73B2" w:rsidRPr="005B08D8" w:rsidRDefault="0078303B">
      <w:pPr>
        <w:tabs>
          <w:tab w:val="left" w:pos="0"/>
        </w:tabs>
        <w:ind w:left="0" w:firstLine="0"/>
        <w:rPr>
          <w:b/>
          <w:sz w:val="24"/>
          <w:szCs w:val="24"/>
          <w:lang w:val="en-GB"/>
        </w:rPr>
      </w:pPr>
      <w:r w:rsidRPr="005B08D8">
        <w:rPr>
          <w:b/>
          <w:sz w:val="24"/>
          <w:szCs w:val="24"/>
          <w:lang w:val="en-GB"/>
        </w:rPr>
        <w:t>Proposal #2 - It is proposed to include a minimum case link budget configuration representative of the proposed scenario into the set of link budget reference configurations covered under the SI.</w:t>
      </w:r>
    </w:p>
    <w:p w:rsidR="007A73B2" w:rsidRPr="005B08D8" w:rsidRDefault="007A73B2">
      <w:pPr>
        <w:tabs>
          <w:tab w:val="left" w:pos="0"/>
        </w:tabs>
        <w:ind w:left="0" w:firstLine="0"/>
        <w:rPr>
          <w:lang w:val="en-GB"/>
        </w:rPr>
      </w:pPr>
    </w:p>
    <w:p w:rsidR="007A73B2" w:rsidRPr="005B08D8" w:rsidRDefault="0078303B">
      <w:pPr>
        <w:pStyle w:val="Heading1"/>
        <w:ind w:left="0" w:firstLine="0"/>
        <w:rPr>
          <w:b/>
          <w:lang w:val="en-GB"/>
        </w:rPr>
      </w:pPr>
      <w:bookmarkStart w:id="4" w:name="_nsq9c3e1u1vr" w:colFirst="0" w:colLast="0"/>
      <w:bookmarkEnd w:id="4"/>
      <w:r w:rsidRPr="005B08D8">
        <w:rPr>
          <w:b/>
          <w:lang w:val="en-GB"/>
        </w:rPr>
        <w:t>4. Discontinuous Service Coverage</w:t>
      </w:r>
    </w:p>
    <w:p w:rsidR="007A73B2" w:rsidRPr="005B08D8" w:rsidRDefault="0078303B">
      <w:pPr>
        <w:tabs>
          <w:tab w:val="left" w:pos="0"/>
        </w:tabs>
        <w:ind w:left="0" w:firstLine="0"/>
        <w:rPr>
          <w:sz w:val="22"/>
          <w:szCs w:val="22"/>
          <w:lang w:val="en-GB"/>
        </w:rPr>
      </w:pPr>
      <w:r w:rsidRPr="005B08D8">
        <w:rPr>
          <w:sz w:val="22"/>
          <w:szCs w:val="22"/>
          <w:lang w:val="en-GB"/>
        </w:rPr>
        <w:t>For the 5G NB-</w:t>
      </w:r>
      <w:proofErr w:type="spellStart"/>
      <w:r w:rsidRPr="005B08D8">
        <w:rPr>
          <w:sz w:val="22"/>
          <w:szCs w:val="22"/>
          <w:lang w:val="en-GB"/>
        </w:rPr>
        <w:t>IoT</w:t>
      </w:r>
      <w:proofErr w:type="spellEnd"/>
      <w:r w:rsidRPr="005B08D8">
        <w:rPr>
          <w:sz w:val="22"/>
          <w:szCs w:val="22"/>
          <w:lang w:val="en-GB"/>
        </w:rPr>
        <w:t xml:space="preserve"> NTN the</w:t>
      </w:r>
      <w:r w:rsidRPr="005B08D8">
        <w:rPr>
          <w:sz w:val="22"/>
          <w:szCs w:val="22"/>
          <w:lang w:val="en-GB"/>
        </w:rPr>
        <w:t xml:space="preserve">re is no strict market requirement for a continuous service link. Meaningful </w:t>
      </w:r>
      <w:proofErr w:type="spellStart"/>
      <w:r w:rsidRPr="005B08D8">
        <w:rPr>
          <w:sz w:val="22"/>
          <w:szCs w:val="22"/>
          <w:lang w:val="en-GB"/>
        </w:rPr>
        <w:t>IoT</w:t>
      </w:r>
      <w:proofErr w:type="spellEnd"/>
      <w:r w:rsidRPr="005B08D8">
        <w:rPr>
          <w:sz w:val="22"/>
          <w:szCs w:val="22"/>
          <w:lang w:val="en-GB"/>
        </w:rPr>
        <w:t xml:space="preserve"> service can be provided even with a discontinued link. Allowing such </w:t>
      </w:r>
      <w:proofErr w:type="spellStart"/>
      <w:r w:rsidRPr="005B08D8">
        <w:rPr>
          <w:sz w:val="22"/>
          <w:szCs w:val="22"/>
          <w:lang w:val="en-GB"/>
        </w:rPr>
        <w:t>IoT</w:t>
      </w:r>
      <w:proofErr w:type="spellEnd"/>
      <w:r w:rsidRPr="005B08D8">
        <w:rPr>
          <w:sz w:val="22"/>
          <w:szCs w:val="22"/>
          <w:lang w:val="en-GB"/>
        </w:rPr>
        <w:t xml:space="preserve"> scenarios by ensuring proper handling of a discontinuous service link would allow providing service wi</w:t>
      </w:r>
      <w:r w:rsidRPr="005B08D8">
        <w:rPr>
          <w:sz w:val="22"/>
          <w:szCs w:val="22"/>
          <w:lang w:val="en-GB"/>
        </w:rPr>
        <w:t>th a small and scalable number of satellites. This would be valid for both transparent and regenerative mode for LEO and MEO constellations.</w:t>
      </w:r>
    </w:p>
    <w:p w:rsidR="007A73B2" w:rsidRPr="005B08D8" w:rsidRDefault="0078303B">
      <w:pPr>
        <w:tabs>
          <w:tab w:val="left" w:pos="0"/>
        </w:tabs>
        <w:ind w:left="0" w:firstLine="0"/>
        <w:rPr>
          <w:sz w:val="22"/>
          <w:szCs w:val="22"/>
          <w:lang w:val="en-GB"/>
        </w:rPr>
      </w:pPr>
      <w:r w:rsidRPr="005B08D8">
        <w:rPr>
          <w:sz w:val="22"/>
          <w:szCs w:val="22"/>
          <w:lang w:val="en-GB"/>
        </w:rPr>
        <w:t>The technical items to be analysed include (not limited to):</w:t>
      </w:r>
    </w:p>
    <w:p w:rsidR="007A73B2" w:rsidRPr="005B08D8" w:rsidRDefault="0078303B" w:rsidP="005B08D8">
      <w:pPr>
        <w:pStyle w:val="ListParagraph"/>
        <w:numPr>
          <w:ilvl w:val="0"/>
          <w:numId w:val="5"/>
        </w:numPr>
        <w:tabs>
          <w:tab w:val="left" w:pos="0"/>
        </w:tabs>
        <w:rPr>
          <w:sz w:val="22"/>
          <w:szCs w:val="22"/>
          <w:lang w:val="en-GB"/>
        </w:rPr>
      </w:pPr>
      <w:r w:rsidRPr="005B08D8">
        <w:rPr>
          <w:sz w:val="22"/>
          <w:szCs w:val="22"/>
          <w:lang w:val="en-GB"/>
        </w:rPr>
        <w:t>Cell-search</w:t>
      </w:r>
    </w:p>
    <w:p w:rsidR="007A73B2" w:rsidRPr="005B08D8" w:rsidRDefault="0078303B" w:rsidP="005B08D8">
      <w:pPr>
        <w:pStyle w:val="ListParagraph"/>
        <w:numPr>
          <w:ilvl w:val="0"/>
          <w:numId w:val="5"/>
        </w:numPr>
        <w:tabs>
          <w:tab w:val="left" w:pos="0"/>
        </w:tabs>
        <w:rPr>
          <w:sz w:val="22"/>
          <w:szCs w:val="22"/>
          <w:lang w:val="en-GB"/>
        </w:rPr>
      </w:pPr>
      <w:r w:rsidRPr="005B08D8">
        <w:rPr>
          <w:sz w:val="22"/>
          <w:szCs w:val="22"/>
          <w:lang w:val="en-GB"/>
        </w:rPr>
        <w:t>Paging</w:t>
      </w:r>
    </w:p>
    <w:p w:rsidR="007A73B2" w:rsidRPr="005B08D8" w:rsidRDefault="0078303B" w:rsidP="005B08D8">
      <w:pPr>
        <w:pStyle w:val="ListParagraph"/>
        <w:numPr>
          <w:ilvl w:val="0"/>
          <w:numId w:val="5"/>
        </w:numPr>
        <w:tabs>
          <w:tab w:val="left" w:pos="0"/>
        </w:tabs>
        <w:rPr>
          <w:sz w:val="22"/>
          <w:szCs w:val="22"/>
          <w:lang w:val="en-GB"/>
        </w:rPr>
      </w:pPr>
      <w:r w:rsidRPr="005B08D8">
        <w:rPr>
          <w:sz w:val="22"/>
          <w:szCs w:val="22"/>
          <w:lang w:val="en-GB"/>
        </w:rPr>
        <w:t>Wake-up (power saving)</w:t>
      </w:r>
    </w:p>
    <w:p w:rsidR="007A73B2" w:rsidRPr="005B08D8" w:rsidRDefault="0078303B" w:rsidP="005B08D8">
      <w:pPr>
        <w:pStyle w:val="ListParagraph"/>
        <w:numPr>
          <w:ilvl w:val="0"/>
          <w:numId w:val="5"/>
        </w:numPr>
        <w:tabs>
          <w:tab w:val="left" w:pos="0"/>
        </w:tabs>
        <w:rPr>
          <w:sz w:val="22"/>
          <w:szCs w:val="22"/>
          <w:lang w:val="en-GB"/>
        </w:rPr>
      </w:pPr>
      <w:r w:rsidRPr="005B08D8">
        <w:rPr>
          <w:sz w:val="22"/>
          <w:szCs w:val="22"/>
          <w:lang w:val="en-GB"/>
        </w:rPr>
        <w:t>Random acces</w:t>
      </w:r>
      <w:r w:rsidRPr="005B08D8">
        <w:rPr>
          <w:sz w:val="22"/>
          <w:szCs w:val="22"/>
          <w:lang w:val="en-GB"/>
        </w:rPr>
        <w:t>s</w:t>
      </w:r>
    </w:p>
    <w:p w:rsidR="007A73B2" w:rsidRPr="005B08D8" w:rsidRDefault="0078303B">
      <w:pPr>
        <w:tabs>
          <w:tab w:val="left" w:pos="0"/>
        </w:tabs>
        <w:ind w:left="0" w:firstLine="0"/>
        <w:rPr>
          <w:b/>
          <w:sz w:val="24"/>
          <w:szCs w:val="24"/>
          <w:lang w:val="en-GB"/>
        </w:rPr>
      </w:pPr>
      <w:r w:rsidRPr="005B08D8">
        <w:rPr>
          <w:b/>
          <w:sz w:val="24"/>
          <w:szCs w:val="24"/>
          <w:lang w:val="en-GB"/>
        </w:rPr>
        <w:lastRenderedPageBreak/>
        <w:t>P</w:t>
      </w:r>
      <w:r w:rsidRPr="005B08D8">
        <w:rPr>
          <w:b/>
          <w:sz w:val="24"/>
          <w:szCs w:val="24"/>
          <w:lang w:val="en-GB"/>
        </w:rPr>
        <w:t>roposal #3 - It is proposed to study the implications of discontinuous service link coverage into the NB-</w:t>
      </w:r>
      <w:proofErr w:type="spellStart"/>
      <w:r w:rsidRPr="005B08D8">
        <w:rPr>
          <w:b/>
          <w:sz w:val="24"/>
          <w:szCs w:val="24"/>
          <w:lang w:val="en-GB"/>
        </w:rPr>
        <w:t>IoT</w:t>
      </w:r>
      <w:proofErr w:type="spellEnd"/>
      <w:r w:rsidRPr="005B08D8">
        <w:rPr>
          <w:b/>
          <w:sz w:val="24"/>
          <w:szCs w:val="24"/>
          <w:lang w:val="en-GB"/>
        </w:rPr>
        <w:t xml:space="preserve"> protocol and determine whether potential solutions at protocol level are needed or not to cope with it.  </w:t>
      </w:r>
    </w:p>
    <w:p w:rsidR="007A73B2" w:rsidRPr="005B08D8" w:rsidRDefault="007A73B2">
      <w:pPr>
        <w:tabs>
          <w:tab w:val="left" w:pos="0"/>
        </w:tabs>
        <w:ind w:left="0" w:firstLine="0"/>
        <w:rPr>
          <w:lang w:val="en-GB"/>
        </w:rPr>
      </w:pPr>
    </w:p>
    <w:p w:rsidR="007A73B2" w:rsidRPr="005B08D8" w:rsidRDefault="0078303B">
      <w:pPr>
        <w:pStyle w:val="Heading1"/>
        <w:ind w:left="0" w:firstLine="0"/>
        <w:rPr>
          <w:b/>
          <w:lang w:val="en-GB"/>
        </w:rPr>
      </w:pPr>
      <w:bookmarkStart w:id="5" w:name="_cpi05wf32mwz" w:colFirst="0" w:colLast="0"/>
      <w:bookmarkEnd w:id="5"/>
      <w:r w:rsidRPr="005B08D8">
        <w:rPr>
          <w:b/>
          <w:lang w:val="en-GB"/>
        </w:rPr>
        <w:t>5. Discontinuous Feeder Link</w:t>
      </w:r>
    </w:p>
    <w:p w:rsidR="007A73B2" w:rsidRDefault="0078303B" w:rsidP="005B08D8">
      <w:pPr>
        <w:tabs>
          <w:tab w:val="left" w:pos="0"/>
        </w:tabs>
        <w:ind w:left="0" w:firstLine="0"/>
        <w:rPr>
          <w:sz w:val="22"/>
          <w:szCs w:val="22"/>
          <w:lang w:val="en-GB"/>
        </w:rPr>
      </w:pPr>
      <w:r w:rsidRPr="005B08D8">
        <w:rPr>
          <w:sz w:val="22"/>
          <w:szCs w:val="22"/>
          <w:lang w:val="en-GB"/>
        </w:rPr>
        <w:t>The feeder link would experience a discontinuity during a full orbit e.g. over the oceans or in very remote areas. Considering the difference between 5G NR services and NB-</w:t>
      </w:r>
      <w:proofErr w:type="spellStart"/>
      <w:r w:rsidRPr="005B08D8">
        <w:rPr>
          <w:sz w:val="22"/>
          <w:szCs w:val="22"/>
          <w:lang w:val="en-GB"/>
        </w:rPr>
        <w:t>IoT</w:t>
      </w:r>
      <w:proofErr w:type="spellEnd"/>
      <w:r w:rsidRPr="005B08D8">
        <w:rPr>
          <w:sz w:val="22"/>
          <w:szCs w:val="22"/>
          <w:lang w:val="en-GB"/>
        </w:rPr>
        <w:t xml:space="preserve"> services the discontinued feeder link would provide different user experience. F</w:t>
      </w:r>
      <w:r w:rsidRPr="005B08D8">
        <w:rPr>
          <w:sz w:val="22"/>
          <w:szCs w:val="22"/>
          <w:lang w:val="en-GB"/>
        </w:rPr>
        <w:t>or NR applications it will result in no services. However, for NB-</w:t>
      </w:r>
      <w:proofErr w:type="spellStart"/>
      <w:r w:rsidRPr="005B08D8">
        <w:rPr>
          <w:sz w:val="22"/>
          <w:szCs w:val="22"/>
          <w:lang w:val="en-GB"/>
        </w:rPr>
        <w:t>IoT</w:t>
      </w:r>
      <w:proofErr w:type="spellEnd"/>
      <w:r w:rsidRPr="005B08D8">
        <w:rPr>
          <w:sz w:val="22"/>
          <w:szCs w:val="22"/>
          <w:lang w:val="en-GB"/>
        </w:rPr>
        <w:t xml:space="preserve"> NTN applications this would be fully acceptable as long as the data is acquired from the remote sensors and sent to ground within the service limits while the link is re-established.</w:t>
      </w:r>
    </w:p>
    <w:p w:rsidR="007A73B2" w:rsidRDefault="0078303B">
      <w:pPr>
        <w:tabs>
          <w:tab w:val="left" w:pos="0"/>
        </w:tabs>
        <w:ind w:left="0" w:firstLine="0"/>
        <w:rPr>
          <w:b/>
          <w:sz w:val="24"/>
          <w:szCs w:val="24"/>
          <w:lang w:val="en-GB"/>
        </w:rPr>
      </w:pPr>
      <w:r w:rsidRPr="005B08D8">
        <w:rPr>
          <w:b/>
          <w:sz w:val="24"/>
          <w:szCs w:val="24"/>
          <w:lang w:val="en-GB"/>
        </w:rPr>
        <w:t>Pr</w:t>
      </w:r>
      <w:r w:rsidRPr="005B08D8">
        <w:rPr>
          <w:b/>
          <w:sz w:val="24"/>
          <w:szCs w:val="24"/>
          <w:lang w:val="en-GB"/>
        </w:rPr>
        <w:t>oposal #4 - It is proposed to study the implications of discontinuous feeder coverage into the NB-</w:t>
      </w:r>
      <w:proofErr w:type="spellStart"/>
      <w:r w:rsidRPr="005B08D8">
        <w:rPr>
          <w:b/>
          <w:sz w:val="24"/>
          <w:szCs w:val="24"/>
          <w:lang w:val="en-GB"/>
        </w:rPr>
        <w:t>IoT</w:t>
      </w:r>
      <w:proofErr w:type="spellEnd"/>
      <w:r w:rsidRPr="005B08D8">
        <w:rPr>
          <w:b/>
          <w:sz w:val="24"/>
          <w:szCs w:val="24"/>
          <w:lang w:val="en-GB"/>
        </w:rPr>
        <w:t xml:space="preserve"> protocol and determine whether potential solutions at protocol level are needed or not to cope with it.</w:t>
      </w:r>
    </w:p>
    <w:p w:rsidR="005B08D8" w:rsidRPr="005B08D8" w:rsidRDefault="005B08D8">
      <w:pPr>
        <w:tabs>
          <w:tab w:val="left" w:pos="0"/>
        </w:tabs>
        <w:ind w:left="0" w:firstLine="0"/>
        <w:rPr>
          <w:b/>
          <w:sz w:val="24"/>
          <w:szCs w:val="24"/>
          <w:lang w:val="en-GB"/>
        </w:rPr>
      </w:pPr>
    </w:p>
    <w:p w:rsidR="007A73B2" w:rsidRPr="005B08D8" w:rsidRDefault="0078303B">
      <w:pPr>
        <w:pStyle w:val="Heading1"/>
        <w:rPr>
          <w:lang w:val="en-GB"/>
        </w:rPr>
      </w:pPr>
      <w:r w:rsidRPr="005B08D8">
        <w:rPr>
          <w:b/>
          <w:lang w:val="en-GB"/>
        </w:rPr>
        <w:t>6. Summary and conclusions</w:t>
      </w:r>
    </w:p>
    <w:p w:rsidR="007A73B2" w:rsidRPr="005B08D8" w:rsidRDefault="007A73B2">
      <w:pPr>
        <w:tabs>
          <w:tab w:val="left" w:pos="0"/>
        </w:tabs>
        <w:ind w:left="0" w:firstLine="0"/>
        <w:rPr>
          <w:lang w:val="en-GB"/>
        </w:rPr>
      </w:pPr>
    </w:p>
    <w:p w:rsidR="007A73B2" w:rsidRPr="005B08D8" w:rsidRDefault="0078303B">
      <w:pPr>
        <w:spacing w:before="0" w:after="120" w:line="280" w:lineRule="auto"/>
        <w:ind w:left="0" w:firstLine="0"/>
        <w:rPr>
          <w:sz w:val="22"/>
          <w:szCs w:val="22"/>
          <w:lang w:val="en-GB"/>
        </w:rPr>
      </w:pPr>
      <w:r w:rsidRPr="005B08D8">
        <w:rPr>
          <w:sz w:val="22"/>
          <w:szCs w:val="22"/>
          <w:lang w:val="en-GB"/>
        </w:rPr>
        <w:t>In this contribution</w:t>
      </w:r>
      <w:r w:rsidRPr="005B08D8">
        <w:rPr>
          <w:sz w:val="22"/>
          <w:szCs w:val="22"/>
          <w:lang w:val="en-GB"/>
        </w:rPr>
        <w:t>, we discuss the opportunity for 3GPP to include the study concerning the option for having a commercial competitive solution specified.</w:t>
      </w:r>
    </w:p>
    <w:p w:rsidR="007A73B2" w:rsidRPr="005B08D8" w:rsidRDefault="0078303B">
      <w:pPr>
        <w:spacing w:before="0" w:after="120" w:line="280" w:lineRule="auto"/>
        <w:ind w:left="0" w:firstLine="0"/>
        <w:rPr>
          <w:sz w:val="22"/>
          <w:szCs w:val="22"/>
          <w:lang w:val="en-GB"/>
        </w:rPr>
      </w:pPr>
      <w:r w:rsidRPr="005B08D8">
        <w:rPr>
          <w:sz w:val="22"/>
          <w:szCs w:val="22"/>
          <w:lang w:val="en-GB"/>
        </w:rPr>
        <w:t>The following proposed study items are:</w:t>
      </w:r>
    </w:p>
    <w:p w:rsidR="007A73B2" w:rsidRPr="005B08D8" w:rsidRDefault="0078303B">
      <w:pPr>
        <w:spacing w:before="0" w:after="120" w:line="280" w:lineRule="auto"/>
        <w:ind w:left="0" w:firstLine="0"/>
        <w:rPr>
          <w:b/>
          <w:sz w:val="24"/>
          <w:szCs w:val="24"/>
          <w:lang w:val="en-GB"/>
        </w:rPr>
      </w:pPr>
      <w:r w:rsidRPr="005B08D8">
        <w:rPr>
          <w:b/>
          <w:sz w:val="24"/>
          <w:szCs w:val="24"/>
          <w:lang w:val="en-GB"/>
        </w:rPr>
        <w:t>Proposal #1 - It is proposed to include the consideration of an NB-</w:t>
      </w:r>
      <w:proofErr w:type="spellStart"/>
      <w:r w:rsidRPr="005B08D8">
        <w:rPr>
          <w:b/>
          <w:sz w:val="24"/>
          <w:szCs w:val="24"/>
          <w:lang w:val="en-GB"/>
        </w:rPr>
        <w:t>IoT</w:t>
      </w:r>
      <w:proofErr w:type="spellEnd"/>
      <w:r w:rsidRPr="005B08D8">
        <w:rPr>
          <w:b/>
          <w:sz w:val="24"/>
          <w:szCs w:val="24"/>
          <w:lang w:val="en-GB"/>
        </w:rPr>
        <w:t xml:space="preserve"> scenario for microsatellites in low density LEO constellations during the study item FS-LTE-NBIOT-eMTC-NTN work.</w:t>
      </w:r>
    </w:p>
    <w:p w:rsidR="007A73B2" w:rsidRPr="005B08D8" w:rsidRDefault="0078303B">
      <w:pPr>
        <w:tabs>
          <w:tab w:val="left" w:pos="0"/>
        </w:tabs>
        <w:ind w:left="0" w:firstLine="0"/>
        <w:rPr>
          <w:b/>
          <w:sz w:val="24"/>
          <w:szCs w:val="24"/>
          <w:lang w:val="en-GB"/>
        </w:rPr>
      </w:pPr>
      <w:r w:rsidRPr="005B08D8">
        <w:rPr>
          <w:b/>
          <w:sz w:val="24"/>
          <w:szCs w:val="24"/>
          <w:lang w:val="en-GB"/>
        </w:rPr>
        <w:t>Proposal #2 - It is proposed to include a minimum case link budget confi</w:t>
      </w:r>
      <w:r w:rsidRPr="005B08D8">
        <w:rPr>
          <w:b/>
          <w:sz w:val="24"/>
          <w:szCs w:val="24"/>
          <w:lang w:val="en-GB"/>
        </w:rPr>
        <w:t>guration into the set of link budget reference configurations covered under the SI.</w:t>
      </w:r>
    </w:p>
    <w:p w:rsidR="007A73B2" w:rsidRPr="005B08D8" w:rsidRDefault="0078303B">
      <w:pPr>
        <w:tabs>
          <w:tab w:val="left" w:pos="0"/>
        </w:tabs>
        <w:ind w:left="0" w:firstLine="0"/>
        <w:rPr>
          <w:b/>
          <w:sz w:val="24"/>
          <w:szCs w:val="24"/>
          <w:lang w:val="en-GB"/>
        </w:rPr>
      </w:pPr>
      <w:r w:rsidRPr="005B08D8">
        <w:rPr>
          <w:b/>
          <w:sz w:val="24"/>
          <w:szCs w:val="24"/>
          <w:lang w:val="en-GB"/>
        </w:rPr>
        <w:t>Proposal #3 - It is proposed to study the implications of discontinuous service coverage into the NB-</w:t>
      </w:r>
      <w:proofErr w:type="spellStart"/>
      <w:r w:rsidRPr="005B08D8">
        <w:rPr>
          <w:b/>
          <w:sz w:val="24"/>
          <w:szCs w:val="24"/>
          <w:lang w:val="en-GB"/>
        </w:rPr>
        <w:t>IoT</w:t>
      </w:r>
      <w:proofErr w:type="spellEnd"/>
      <w:r w:rsidRPr="005B08D8">
        <w:rPr>
          <w:b/>
          <w:sz w:val="24"/>
          <w:szCs w:val="24"/>
          <w:lang w:val="en-GB"/>
        </w:rPr>
        <w:t xml:space="preserve"> protocol and determine whether potential solutions at protocol leve</w:t>
      </w:r>
      <w:r w:rsidRPr="005B08D8">
        <w:rPr>
          <w:b/>
          <w:sz w:val="24"/>
          <w:szCs w:val="24"/>
          <w:lang w:val="en-GB"/>
        </w:rPr>
        <w:t>l are needed or not to cope with it.</w:t>
      </w:r>
    </w:p>
    <w:p w:rsidR="007A73B2" w:rsidRPr="005B08D8" w:rsidRDefault="0078303B">
      <w:pPr>
        <w:tabs>
          <w:tab w:val="left" w:pos="0"/>
        </w:tabs>
        <w:ind w:left="0" w:firstLine="0"/>
        <w:rPr>
          <w:b/>
          <w:sz w:val="24"/>
          <w:szCs w:val="24"/>
          <w:lang w:val="en-GB"/>
        </w:rPr>
      </w:pPr>
      <w:r w:rsidRPr="005B08D8">
        <w:rPr>
          <w:b/>
          <w:sz w:val="24"/>
          <w:szCs w:val="24"/>
          <w:lang w:val="en-GB"/>
        </w:rPr>
        <w:t>Proposal #4 - It is proposed to study the implications of discontinuous feeder coverage into the NB-</w:t>
      </w:r>
      <w:proofErr w:type="spellStart"/>
      <w:r w:rsidRPr="005B08D8">
        <w:rPr>
          <w:b/>
          <w:sz w:val="24"/>
          <w:szCs w:val="24"/>
          <w:lang w:val="en-GB"/>
        </w:rPr>
        <w:t>IoT</w:t>
      </w:r>
      <w:proofErr w:type="spellEnd"/>
      <w:r w:rsidRPr="005B08D8">
        <w:rPr>
          <w:b/>
          <w:sz w:val="24"/>
          <w:szCs w:val="24"/>
          <w:lang w:val="en-GB"/>
        </w:rPr>
        <w:t xml:space="preserve"> protocol and determine whether potential solutions at protocol level are needed or not to cope with it.</w:t>
      </w:r>
    </w:p>
    <w:p w:rsidR="007A73B2" w:rsidRPr="005B08D8" w:rsidRDefault="007A73B2">
      <w:pPr>
        <w:tabs>
          <w:tab w:val="left" w:pos="0"/>
        </w:tabs>
        <w:ind w:left="0" w:firstLine="0"/>
        <w:rPr>
          <w:b/>
          <w:sz w:val="24"/>
          <w:szCs w:val="24"/>
          <w:lang w:val="en-GB"/>
        </w:rPr>
      </w:pPr>
    </w:p>
    <w:p w:rsidR="007A73B2" w:rsidRPr="005B08D8" w:rsidRDefault="0078303B">
      <w:pPr>
        <w:pStyle w:val="Heading1"/>
        <w:rPr>
          <w:b/>
          <w:lang w:val="en-GB"/>
        </w:rPr>
      </w:pPr>
      <w:r w:rsidRPr="005B08D8">
        <w:rPr>
          <w:b/>
          <w:lang w:val="en-GB"/>
        </w:rPr>
        <w:t>7. Referen</w:t>
      </w:r>
      <w:r w:rsidRPr="005B08D8">
        <w:rPr>
          <w:b/>
          <w:lang w:val="en-GB"/>
        </w:rPr>
        <w:t>ces</w:t>
      </w:r>
    </w:p>
    <w:p w:rsidR="007A73B2" w:rsidRPr="005B08D8" w:rsidRDefault="007A73B2" w:rsidP="005B08D8">
      <w:pPr>
        <w:tabs>
          <w:tab w:val="left" w:pos="0"/>
        </w:tabs>
        <w:rPr>
          <w:lang w:val="en-GB"/>
        </w:rPr>
      </w:pPr>
    </w:p>
    <w:p w:rsidR="007A73B2" w:rsidRPr="005B08D8" w:rsidRDefault="0078303B">
      <w:pPr>
        <w:numPr>
          <w:ilvl w:val="0"/>
          <w:numId w:val="1"/>
        </w:numPr>
        <w:pBdr>
          <w:top w:val="nil"/>
          <w:left w:val="nil"/>
          <w:bottom w:val="nil"/>
          <w:right w:val="nil"/>
          <w:between w:val="nil"/>
        </w:pBdr>
        <w:spacing w:after="60"/>
        <w:ind w:left="230"/>
        <w:rPr>
          <w:color w:val="000000"/>
          <w:sz w:val="22"/>
          <w:szCs w:val="22"/>
          <w:lang w:val="en-GB"/>
        </w:rPr>
      </w:pPr>
      <w:r w:rsidRPr="005B08D8">
        <w:rPr>
          <w:sz w:val="22"/>
          <w:szCs w:val="22"/>
          <w:lang w:val="en-GB"/>
        </w:rPr>
        <w:t>RP-193235</w:t>
      </w:r>
      <w:r w:rsidRPr="005B08D8">
        <w:rPr>
          <w:color w:val="000000"/>
          <w:sz w:val="22"/>
          <w:szCs w:val="22"/>
          <w:lang w:val="en-GB"/>
        </w:rPr>
        <w:t xml:space="preserve">, “Study on NB-Io/eMTC support for Non-Terrestrial Network”, </w:t>
      </w:r>
      <w:proofErr w:type="spellStart"/>
      <w:r w:rsidRPr="005B08D8">
        <w:rPr>
          <w:color w:val="000000"/>
          <w:sz w:val="22"/>
          <w:szCs w:val="22"/>
          <w:lang w:val="en-GB"/>
        </w:rPr>
        <w:t>MediaTek</w:t>
      </w:r>
      <w:proofErr w:type="spellEnd"/>
      <w:r w:rsidRPr="005B08D8">
        <w:rPr>
          <w:color w:val="000000"/>
          <w:sz w:val="22"/>
          <w:szCs w:val="22"/>
          <w:lang w:val="en-GB"/>
        </w:rPr>
        <w:t xml:space="preserve"> </w:t>
      </w:r>
      <w:proofErr w:type="spellStart"/>
      <w:r w:rsidRPr="005B08D8">
        <w:rPr>
          <w:color w:val="000000"/>
          <w:sz w:val="22"/>
          <w:szCs w:val="22"/>
          <w:lang w:val="en-GB"/>
        </w:rPr>
        <w:t>Inc</w:t>
      </w:r>
      <w:proofErr w:type="spellEnd"/>
      <w:r w:rsidRPr="005B08D8">
        <w:rPr>
          <w:sz w:val="22"/>
          <w:szCs w:val="22"/>
          <w:lang w:val="en-GB"/>
        </w:rPr>
        <w:t xml:space="preserve">, </w:t>
      </w:r>
      <w:r w:rsidRPr="005B08D8">
        <w:rPr>
          <w:color w:val="000000"/>
          <w:sz w:val="22"/>
          <w:szCs w:val="22"/>
          <w:lang w:val="en-GB"/>
        </w:rPr>
        <w:t xml:space="preserve">3GPP TSG RAN Meeting #86 </w:t>
      </w:r>
      <w:r w:rsidRPr="005B08D8">
        <w:rPr>
          <w:color w:val="000000"/>
          <w:sz w:val="22"/>
          <w:szCs w:val="22"/>
          <w:lang w:val="en-GB"/>
        </w:rPr>
        <w:tab/>
      </w:r>
      <w:proofErr w:type="spellStart"/>
      <w:r w:rsidRPr="005B08D8">
        <w:rPr>
          <w:color w:val="000000"/>
          <w:sz w:val="22"/>
          <w:szCs w:val="22"/>
          <w:lang w:val="en-GB"/>
        </w:rPr>
        <w:t>Sitges</w:t>
      </w:r>
      <w:proofErr w:type="spellEnd"/>
      <w:r w:rsidRPr="005B08D8">
        <w:rPr>
          <w:color w:val="000000"/>
          <w:sz w:val="22"/>
          <w:szCs w:val="22"/>
          <w:lang w:val="en-GB"/>
        </w:rPr>
        <w:t>, Spain, December 9-31, 2019</w:t>
      </w:r>
    </w:p>
    <w:p w:rsidR="007A73B2" w:rsidRPr="005B08D8" w:rsidRDefault="0078303B">
      <w:pPr>
        <w:numPr>
          <w:ilvl w:val="0"/>
          <w:numId w:val="1"/>
        </w:numPr>
        <w:pBdr>
          <w:top w:val="nil"/>
          <w:left w:val="nil"/>
          <w:bottom w:val="nil"/>
          <w:right w:val="nil"/>
          <w:between w:val="nil"/>
        </w:pBdr>
        <w:spacing w:after="60"/>
        <w:ind w:left="230"/>
        <w:rPr>
          <w:sz w:val="22"/>
          <w:szCs w:val="22"/>
          <w:lang w:val="en-GB"/>
        </w:rPr>
      </w:pPr>
      <w:r w:rsidRPr="005B08D8">
        <w:rPr>
          <w:sz w:val="22"/>
          <w:szCs w:val="22"/>
          <w:lang w:val="en-GB"/>
        </w:rPr>
        <w:t xml:space="preserve">RP-202111, “Release, Meeting and TU planning”, TSG RAN Chairman, RAN1 Chairman, RAN2 Chairman, RAN3 Chairman, </w:t>
      </w:r>
      <w:r w:rsidRPr="005B08D8">
        <w:rPr>
          <w:sz w:val="22"/>
          <w:szCs w:val="22"/>
          <w:lang w:val="en-GB"/>
        </w:rPr>
        <w:tab/>
        <w:t>RAN4 Chairman, RAN5 Chairman</w:t>
      </w:r>
    </w:p>
    <w:p w:rsidR="007A73B2" w:rsidRPr="00DE25B1" w:rsidRDefault="0078303B" w:rsidP="00DE25B1">
      <w:pPr>
        <w:numPr>
          <w:ilvl w:val="0"/>
          <w:numId w:val="1"/>
        </w:numPr>
        <w:pBdr>
          <w:top w:val="nil"/>
          <w:left w:val="nil"/>
          <w:bottom w:val="nil"/>
          <w:right w:val="nil"/>
          <w:between w:val="nil"/>
        </w:pBdr>
        <w:spacing w:after="60"/>
        <w:ind w:left="230"/>
        <w:rPr>
          <w:sz w:val="22"/>
          <w:szCs w:val="22"/>
          <w:lang w:val="en-GB"/>
        </w:rPr>
      </w:pPr>
      <w:r w:rsidRPr="005B08D8">
        <w:rPr>
          <w:sz w:val="22"/>
          <w:szCs w:val="22"/>
          <w:lang w:val="en-GB"/>
        </w:rPr>
        <w:t>TR 38.821. Solutions for NR to support Non-Terrestrial Networks (NTN)</w:t>
      </w:r>
    </w:p>
    <w:p w:rsidR="007A73B2" w:rsidRPr="005B08D8" w:rsidRDefault="007A73B2">
      <w:pPr>
        <w:pBdr>
          <w:top w:val="nil"/>
          <w:left w:val="nil"/>
          <w:bottom w:val="nil"/>
          <w:right w:val="nil"/>
          <w:between w:val="nil"/>
        </w:pBdr>
        <w:spacing w:after="60"/>
        <w:ind w:left="0" w:firstLine="0"/>
        <w:rPr>
          <w:sz w:val="22"/>
          <w:szCs w:val="22"/>
          <w:lang w:val="en-GB"/>
        </w:rPr>
      </w:pPr>
    </w:p>
    <w:sectPr w:rsidR="007A73B2" w:rsidRPr="005B08D8" w:rsidSect="00DE25B1">
      <w:footerReference w:type="default" r:id="rId10"/>
      <w:pgSz w:w="11906" w:h="16838"/>
      <w:pgMar w:top="1418" w:right="1134" w:bottom="1134" w:left="1134" w:header="851" w:footer="992"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03B" w:rsidRDefault="0078303B" w:rsidP="00DE25B1">
      <w:pPr>
        <w:spacing w:before="0" w:after="0"/>
      </w:pPr>
      <w:r>
        <w:separator/>
      </w:r>
    </w:p>
  </w:endnote>
  <w:endnote w:type="continuationSeparator" w:id="0">
    <w:p w:rsidR="0078303B" w:rsidRDefault="0078303B" w:rsidP="00DE25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7384430"/>
      <w:docPartObj>
        <w:docPartGallery w:val="Page Numbers (Bottom of Page)"/>
        <w:docPartUnique/>
      </w:docPartObj>
    </w:sdtPr>
    <w:sdtContent>
      <w:p w:rsidR="00DE25B1" w:rsidRDefault="00DE25B1">
        <w:pPr>
          <w:pStyle w:val="Footer"/>
          <w:jc w:val="right"/>
        </w:pPr>
        <w:r>
          <w:t xml:space="preserve">Page | </w:t>
        </w:r>
        <w:r>
          <w:fldChar w:fldCharType="begin"/>
        </w:r>
        <w:r>
          <w:instrText xml:space="preserve"> PAGE   \* MERGEFORMAT </w:instrText>
        </w:r>
        <w:r>
          <w:fldChar w:fldCharType="separate"/>
        </w:r>
        <w:r>
          <w:rPr>
            <w:noProof/>
          </w:rPr>
          <w:t>7</w:t>
        </w:r>
        <w:r>
          <w:rPr>
            <w:noProof/>
          </w:rPr>
          <w:fldChar w:fldCharType="end"/>
        </w:r>
        <w:r>
          <w:t xml:space="preserve"> </w:t>
        </w:r>
      </w:p>
    </w:sdtContent>
  </w:sdt>
  <w:p w:rsidR="00DE25B1" w:rsidRDefault="00DE25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03B" w:rsidRDefault="0078303B" w:rsidP="00DE25B1">
      <w:pPr>
        <w:spacing w:before="0" w:after="0"/>
      </w:pPr>
      <w:r>
        <w:separator/>
      </w:r>
    </w:p>
  </w:footnote>
  <w:footnote w:type="continuationSeparator" w:id="0">
    <w:p w:rsidR="0078303B" w:rsidRDefault="0078303B" w:rsidP="00DE25B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07C1F"/>
    <w:multiLevelType w:val="multilevel"/>
    <w:tmpl w:val="F0AA60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F953F93"/>
    <w:multiLevelType w:val="multilevel"/>
    <w:tmpl w:val="6270DE22"/>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986353E"/>
    <w:multiLevelType w:val="multilevel"/>
    <w:tmpl w:val="6E10D4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7311343"/>
    <w:multiLevelType w:val="multilevel"/>
    <w:tmpl w:val="32C2C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C2E7E73"/>
    <w:multiLevelType w:val="hybridMultilevel"/>
    <w:tmpl w:val="CF00B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3B2"/>
    <w:rsid w:val="005B08D8"/>
    <w:rsid w:val="0078303B"/>
    <w:rsid w:val="007A73B2"/>
    <w:rsid w:val="00DE2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38B11"/>
  <w15:docId w15:val="{D09C2C5B-1D57-4645-BB5C-667B789E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60" w:after="180"/>
        <w:ind w:left="851" w:hanging="284"/>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tabs>
        <w:tab w:val="left" w:pos="0"/>
      </w:tabs>
      <w:spacing w:before="240" w:after="60"/>
      <w:ind w:left="425" w:hanging="425"/>
      <w:outlineLvl w:val="0"/>
    </w:pPr>
    <w:rPr>
      <w:rFonts w:ascii="Arial" w:eastAsia="Arial" w:hAnsi="Arial" w:cs="Arial"/>
      <w:sz w:val="28"/>
      <w:szCs w:val="28"/>
    </w:rPr>
  </w:style>
  <w:style w:type="paragraph" w:styleId="Heading2">
    <w:name w:val="heading 2"/>
    <w:basedOn w:val="Normal"/>
    <w:next w:val="Normal"/>
    <w:pPr>
      <w:keepNext/>
      <w:outlineLvl w:val="1"/>
    </w:pPr>
    <w:rPr>
      <w:rFonts w:ascii="Arial" w:eastAsia="Arial" w:hAnsi="Arial" w:cs="Arial"/>
    </w:rPr>
  </w:style>
  <w:style w:type="paragraph" w:styleId="Heading3">
    <w:name w:val="heading 3"/>
    <w:basedOn w:val="Normal"/>
    <w:next w:val="Normal"/>
    <w:pPr>
      <w:keepNext/>
      <w:ind w:left="300" w:hanging="2000"/>
      <w:outlineLvl w:val="2"/>
    </w:pPr>
    <w:rPr>
      <w:rFonts w:ascii="Arial" w:eastAsia="Arial" w:hAnsi="Arial" w:cs="Arial"/>
    </w:rPr>
  </w:style>
  <w:style w:type="paragraph" w:styleId="Heading4">
    <w:name w:val="heading 4"/>
    <w:basedOn w:val="Normal"/>
    <w:next w:val="Normal"/>
    <w:pPr>
      <w:keepNext/>
      <w:ind w:left="400" w:hanging="200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B08D8"/>
    <w:pPr>
      <w:ind w:left="720"/>
      <w:contextualSpacing/>
    </w:pPr>
  </w:style>
  <w:style w:type="paragraph" w:styleId="Header">
    <w:name w:val="header"/>
    <w:basedOn w:val="Normal"/>
    <w:link w:val="HeaderChar"/>
    <w:uiPriority w:val="99"/>
    <w:unhideWhenUsed/>
    <w:rsid w:val="00DE25B1"/>
    <w:pPr>
      <w:tabs>
        <w:tab w:val="center" w:pos="4680"/>
        <w:tab w:val="right" w:pos="9360"/>
      </w:tabs>
      <w:spacing w:before="0" w:after="0"/>
    </w:pPr>
  </w:style>
  <w:style w:type="character" w:customStyle="1" w:styleId="HeaderChar">
    <w:name w:val="Header Char"/>
    <w:basedOn w:val="DefaultParagraphFont"/>
    <w:link w:val="Header"/>
    <w:uiPriority w:val="99"/>
    <w:rsid w:val="00DE25B1"/>
  </w:style>
  <w:style w:type="paragraph" w:styleId="Footer">
    <w:name w:val="footer"/>
    <w:basedOn w:val="Normal"/>
    <w:link w:val="FooterChar"/>
    <w:uiPriority w:val="99"/>
    <w:unhideWhenUsed/>
    <w:rsid w:val="00DE25B1"/>
    <w:pPr>
      <w:tabs>
        <w:tab w:val="center" w:pos="4680"/>
        <w:tab w:val="right" w:pos="9360"/>
      </w:tabs>
      <w:spacing w:before="0" w:after="0"/>
    </w:pPr>
  </w:style>
  <w:style w:type="character" w:customStyle="1" w:styleId="FooterChar">
    <w:name w:val="Footer Char"/>
    <w:basedOn w:val="DefaultParagraphFont"/>
    <w:link w:val="Footer"/>
    <w:uiPriority w:val="99"/>
    <w:rsid w:val="00DE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C902-A4C5-4261-9719-B67E384D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1934</Words>
  <Characters>11027</Characters>
  <Application>Microsoft Office Word</Application>
  <DocSecurity>0</DocSecurity>
  <Lines>91</Lines>
  <Paragraphs>25</Paragraphs>
  <ScaleCrop>false</ScaleCrop>
  <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Ramon Ferrús</cp:lastModifiedBy>
  <cp:revision>3</cp:revision>
  <dcterms:created xsi:type="dcterms:W3CDTF">2020-10-23T11:15:00Z</dcterms:created>
  <dcterms:modified xsi:type="dcterms:W3CDTF">2020-10-23T11:34:00Z</dcterms:modified>
</cp:coreProperties>
</file>